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Lage-AG-Sitzung zu COVID-19</w:t>
      </w:r>
    </w:p>
    <w:p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Wochentag, 10.05.2023,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 /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Andreas </w:t>
      </w:r>
      <w:proofErr w:type="spellStart"/>
      <w:r>
        <w:rPr>
          <w:sz w:val="22"/>
          <w:szCs w:val="22"/>
        </w:rPr>
        <w:t>Gilsdorf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FG27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Jordan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Petra v. Berenberg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Agata </w:t>
      </w:r>
      <w:proofErr w:type="spellStart"/>
      <w:r>
        <w:rPr>
          <w:sz w:val="22"/>
          <w:szCs w:val="22"/>
        </w:rPr>
        <w:t>Mikolajewska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Jameela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Seedat</w:t>
      </w:r>
      <w:proofErr w:type="spellEnd"/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Werner </w:t>
      </w:r>
      <w:proofErr w:type="spellStart"/>
      <w:r>
        <w:rPr>
          <w:sz w:val="22"/>
          <w:szCs w:val="22"/>
        </w:rPr>
        <w:t>Espelage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rFonts w:cs="Calibri"/>
                <w:bCs/>
                <w:sz w:val="22"/>
                <w:szCs w:val="22"/>
              </w:rPr>
            </w:pPr>
            <w:r>
              <w:rPr>
                <w:rStyle w:val="2Zchn"/>
                <w:rFonts w:cs="Calibri"/>
                <w:sz w:val="22"/>
                <w:szCs w:val="22"/>
              </w:rPr>
              <w:t>International</w:t>
            </w:r>
            <w:r>
              <w:rPr>
                <w:rStyle w:val="TagMiZchn"/>
                <w:rFonts w:cs="Calibri"/>
                <w:bCs/>
                <w:sz w:val="22"/>
                <w:szCs w:val="22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Folien</w:t>
            </w:r>
            <w:proofErr w:type="spellEnd"/>
            <w:r>
              <w:rPr>
                <w:rFonts w:cs="Calibri"/>
              </w:rPr>
              <w:t xml:space="preserve"> </w:t>
            </w:r>
            <w:hyperlink r:id="rId14" w:history="1">
              <w:proofErr w:type="spellStart"/>
              <w:r>
                <w:rPr>
                  <w:rStyle w:val="Hyperlink"/>
                  <w:rFonts w:cs="Calibri"/>
                </w:rPr>
                <w:t>hier</w:t>
              </w:r>
              <w:proofErr w:type="spellEnd"/>
            </w:hyperlink>
          </w:p>
          <w:p>
            <w:pPr>
              <w:pStyle w:val="Liste2"/>
              <w:ind w:left="470" w:hanging="357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Weltweit: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Zahl der gemeldeten neuen Fälle, Todesfälle und Einweisungen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ITS rückläufig;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Ausnahme: Südostasien - Anstieg der neu gemeldeten Fälle und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Todesfälle;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Indien -Seit Februar 2023 Anstieg der neu gemeldeten Fälle,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Höchststand 20.04.23; Seitdem rückläufiger Trend;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XBB.1.16 und Sublinien sind in Indien dominant</w:t>
            </w:r>
          </w:p>
          <w:p>
            <w:pPr>
              <w:pStyle w:val="Liste2"/>
              <w:ind w:left="470" w:hanging="357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Am 03.05.2023 veröffentlichte die WHO eine aktualisierte Version ihres strategischen COVID-19 Bereitschafts- und Reaktionsplans für 2023-2025. </w:t>
            </w:r>
          </w:p>
          <w:p>
            <w:pPr>
              <w:pStyle w:val="Liste2"/>
              <w:ind w:left="470" w:hanging="357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Beendigung PHEIC erklärt (04.05) </w:t>
            </w:r>
            <w:proofErr w:type="gramStart"/>
            <w:r>
              <w:rPr>
                <w:rFonts w:cs="Calibri"/>
                <w:lang w:val="de-DE"/>
              </w:rPr>
              <w:t>-  Begründung</w:t>
            </w:r>
            <w:proofErr w:type="gramEnd"/>
            <w:r>
              <w:rPr>
                <w:rFonts w:cs="Calibri"/>
                <w:lang w:val="de-DE"/>
              </w:rPr>
              <w:t xml:space="preserve"> und weiteres Vorgehen (siehe Folien)</w:t>
            </w:r>
          </w:p>
          <w:p>
            <w:pPr>
              <w:pStyle w:val="Liste2"/>
              <w:numPr>
                <w:ilvl w:val="0"/>
                <w:numId w:val="0"/>
              </w:numPr>
              <w:ind w:left="470"/>
              <w:rPr>
                <w:rFonts w:cs="Calibri"/>
                <w:lang w:val="de-DE"/>
              </w:rPr>
            </w:pPr>
          </w:p>
          <w:p>
            <w:pPr>
              <w:pStyle w:val="2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National</w:t>
            </w: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Fallzahlen/Todesfälle </w:t>
            </w:r>
          </w:p>
          <w:p>
            <w:pPr>
              <w:pStyle w:val="2"/>
              <w:spacing w:before="0" w:after="0"/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Folien </w:t>
            </w:r>
            <w:hyperlink r:id="rId15" w:history="1">
              <w:r>
                <w:rPr>
                  <w:rStyle w:val="Hyperlink"/>
                  <w:rFonts w:cs="Calibri"/>
                  <w:b w:val="0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 allen BL niedrige Inzidenzen, unter 10/100T;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Gesamtzahlen: über 38 Mio. laborbestätige und gemeldete Fälle. Wenn von doppelter und 3-facher Untererfassung ausgegangen wird, war die gesamte Bevölkerung mindestens 1 Mal infiziert;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Hospitalisierung: kontinuierlicher Rückgang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Inzidenz in den LK: überall unter 50/100T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Inzidenz in den Altersgruppen: am höchsten in Gruppe 80+, 30/100T;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Todesfälle: Rückgang; Zahlen der letzten Welle nur noch halb so hoch im Vergleich zu den </w:t>
            </w:r>
            <w:proofErr w:type="spellStart"/>
            <w:r>
              <w:rPr>
                <w:rFonts w:cs="Calibri"/>
                <w:sz w:val="22"/>
                <w:szCs w:val="22"/>
              </w:rPr>
              <w:t>vorangeganen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beiden Wellen.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Keine Übersterblichkeit momentan. </w:t>
            </w:r>
          </w:p>
          <w:p>
            <w:pPr>
              <w:pStyle w:val="Listenabsatz"/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>ITS-Belegung und Spock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16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367 COVID-19-Patient*innen auf Intensivstationen (Stand 10.05.23).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Stetiger Rückgang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ITS-COVID-Neuaufnahmen mit +267 in den letzten 7 Tagen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Anzahl verstorbene COVID19 positive Patient*innen: Rückgang;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Zeitlicher Verlauf: Anteile COVID/ITS unter 5% in allen BL, Ausnahmen: Bremen; Hamburg – Gründe nicht bekannt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Altersgruppen: Rückgang in allen Altersgruppen absolut, 80+ haben anteilig etwas zugenommen, Aktuelle Altersstruktur: 70+ und 80+ in etwa gleich. Über 55% der Patient*innen 70+;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Behandlungsformen: </w:t>
            </w:r>
            <w:proofErr w:type="gramStart"/>
            <w:r>
              <w:rPr>
                <w:rFonts w:cs="Calibri"/>
                <w:sz w:val="22"/>
                <w:szCs w:val="22"/>
              </w:rPr>
              <w:t>bei allen Rückgang</w:t>
            </w:r>
            <w:proofErr w:type="gramEnd"/>
            <w:r>
              <w:rPr>
                <w:rFonts w:cs="Calibri"/>
                <w:sz w:val="22"/>
                <w:szCs w:val="22"/>
              </w:rPr>
              <w:t>; ITS: 60% der Patient*innen mit COVID-19-Manifestation, 40% mit pos. Test aber nicht aufgrund von COVID-19 auf ITS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Nicht-COVID-19-Patient*innen dominieren ITS-Geschehen: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Kapazitäten und Betriebssituation: entspannt, regulärer Betrieb</w:t>
            </w:r>
          </w:p>
          <w:p>
            <w:pPr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Syndrom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 xml:space="preserve">. + </w:t>
            </w: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virol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 xml:space="preserve">.  Surveillance </w:t>
            </w:r>
          </w:p>
          <w:p>
            <w:pPr>
              <w:ind w:left="113"/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Folien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hyperlink r:id="rId17" w:history="1">
              <w:r>
                <w:rPr>
                  <w:rStyle w:val="Hyperlink"/>
                  <w:rFonts w:cs="Calibri"/>
                  <w:sz w:val="22"/>
                  <w:szCs w:val="22"/>
                  <w:lang w:val="fr-FR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GrippeWeb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KW18 : 6.100 ARE (in der 17. </w:t>
            </w:r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KW: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6.00) pro 100.000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EinwohnerInnen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ca 5 Moi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Erkrankungen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 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unabhängig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von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einem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Arztbesuch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Leichte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Delle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Ostern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danach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kompensatorischer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Anstieg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insbesondere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Schulkindern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Ambulanter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ebenfalls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Oster-Knick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Seit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9. KW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sinkend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18. </w:t>
            </w:r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KW: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ca. 900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Arztkonsultationen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ARE pro 100T,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was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ca</w:t>
            </w:r>
            <w:proofErr w:type="spellEnd"/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. 750.000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Arztbesuchen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COVID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spezifische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Diagnosen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ARE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Symptomatik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ebenfalls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Stationärer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SARI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Hospit.Inzidenz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Verstorbene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auf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ITS ab 17 KW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leichter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Anstieg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zu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Diagnosen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SARI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Patienten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COVID-19-Diagnosen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Influenza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leichter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Anstieg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RSV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gleichbleibend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>SARI-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Fälle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ITS-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Behandlung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COVID-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Influenza-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Anteile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angestiegen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RSV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gleichbleibend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 ;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Altersverteilung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COVID-SARI-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Fälle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fällt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ab, aber COVID19-weiterhin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dominierend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Älteren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5-14-Jährige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Anstieg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SARI (Influenza)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Hospitalisierungsinzidenz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1,3 COVID-SARI pro 100T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ca</w:t>
            </w:r>
            <w:proofErr w:type="spellEnd"/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. 1.100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neuen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Krankenhausaufnahmen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COVID-SARI in D </w:t>
            </w:r>
          </w:p>
          <w:p>
            <w:pPr>
              <w:pStyle w:val="Listenabsatz"/>
              <w:rPr>
                <w:rFonts w:cs="Calibri"/>
                <w:sz w:val="22"/>
                <w:szCs w:val="22"/>
                <w:lang w:val="fr-FR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Virol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>. Sentinel :</w:t>
            </w:r>
          </w:p>
          <w:p>
            <w:pPr>
              <w:ind w:left="113"/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Folien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hyperlink r:id="rId18" w:history="1">
              <w:r>
                <w:rPr>
                  <w:rStyle w:val="Hyperlink"/>
                  <w:rFonts w:cs="Calibri"/>
                  <w:sz w:val="22"/>
                  <w:szCs w:val="22"/>
                  <w:lang w:val="fr-FR"/>
                </w:rPr>
                <w:t>hier</w:t>
              </w:r>
            </w:hyperlink>
            <w:r>
              <w:rPr>
                <w:rFonts w:cs="Calibri"/>
                <w:sz w:val="22"/>
                <w:szCs w:val="22"/>
                <w:lang w:val="fr-FR"/>
              </w:rPr>
              <w:t xml:space="preserve"> (ab Folie 14)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Bis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auf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OC43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wurden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Coronaviren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nachgewiesen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. SARS-CoV-2 : 5% aller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Nachweise</w:t>
            </w:r>
            <w:proofErr w:type="spellEnd"/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Influenza : B Viktoria 9%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drittstärkstes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Virus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PIV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Rhino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PIV 3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häufigsten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(13%), HMPV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rückläufig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RSV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seit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mehreren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Wochen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nicht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nachgewiesen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. </w:t>
            </w:r>
          </w:p>
          <w:p>
            <w:pPr>
              <w:rPr>
                <w:rFonts w:cs="Calibri"/>
                <w:sz w:val="22"/>
                <w:szCs w:val="22"/>
                <w:lang w:val="fr-FR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i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Testkapazität, Testungen, ARS 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19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Anteil positiver Testungen geht zurück bei stabile </w:t>
            </w:r>
            <w:proofErr w:type="spellStart"/>
            <w:r>
              <w:rPr>
                <w:rFonts w:cs="Calibri"/>
                <w:sz w:val="22"/>
                <w:szCs w:val="22"/>
              </w:rPr>
              <w:t>Testzahl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(ca. 80T/Woche)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 Arztpraxen/Testzentren: Rückgang der Testungen, in Krankenhäusern wird weiterhin getestet.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Maximum bei 80+, ansonsten Angleichung über alle Alters-Strata und Rückgang.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Erlass BMG zu Streptococcus </w:t>
            </w:r>
            <w:proofErr w:type="spellStart"/>
            <w:r>
              <w:rPr>
                <w:rFonts w:cs="Calibri"/>
                <w:sz w:val="22"/>
                <w:szCs w:val="22"/>
              </w:rPr>
              <w:t>pneumoniae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, (Hintergrund: Antibiotika-Engpässe vor allem im pädiatrischen und ambulanten Bereich): stabile Entwicklung und Rückgang, Quartal 1 hohe Zahlen, Vergleichbar mit starken vorpandemischen Saisons.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 xml:space="preserve">Invasive Group A </w:t>
            </w:r>
            <w:proofErr w:type="spellStart"/>
            <w:r>
              <w:rPr>
                <w:rFonts w:cs="Calibri"/>
                <w:sz w:val="22"/>
                <w:szCs w:val="22"/>
              </w:rPr>
              <w:t>Strep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und HIB: überdurchschnittlich hohe Zahlen, nicht begründet in geänderten Erregereigenschaften, sondern in paralleler RSV/Influenza-Saison und erhöhter Suszeptibilität.</w:t>
            </w: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Molekulare Surveillance, VOC </w:t>
            </w:r>
          </w:p>
          <w:p>
            <w:pPr>
              <w:ind w:left="113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20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Keine Änderung zu Vorwochen der VOC/VOI/VUM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Deeskalierte VOC und Rekombinanten: gleichbleibend;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Zum 30.04. Ende der Vergütung der Sequenzierung- Anzahl übermittelter Sequenzen drastisch abgefallen, 361 im Rahmen der Stichprobe übermittelt (Anteil 1.8% an allen COVID-19-Fällen) Mit weiterem Rückgang wird gerechnet.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Variantenverteilung: nur einstellige Änderungen, Geschehen insgesamt stabil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Xbb1.16: VOI, mediale Aufmerksamkeit (Indien): unter 2%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Xbb2.3 in Indien mit starker Zunahme; in Stichprobe seit KW4 detektiert, 1.9%; weltweit zunehmend. </w:t>
            </w:r>
          </w:p>
          <w:p>
            <w:pPr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>Modellierungen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Nicht berichtet</w:t>
            </w:r>
          </w:p>
          <w:p>
            <w:pPr>
              <w:rPr>
                <w:rFonts w:cs="Calibri"/>
                <w:sz w:val="22"/>
                <w:szCs w:val="22"/>
              </w:rPr>
            </w:pPr>
          </w:p>
          <w:p>
            <w:pPr>
              <w:rPr>
                <w:rFonts w:cs="Calibri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Fragen/Diskussionsbeiträge: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BMG Anfrage zu </w:t>
            </w:r>
            <w:proofErr w:type="spellStart"/>
            <w:r>
              <w:rPr>
                <w:rFonts w:cs="Calibri"/>
                <w:sz w:val="22"/>
                <w:szCs w:val="22"/>
              </w:rPr>
              <w:t>Strep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Calibri"/>
                <w:sz w:val="22"/>
                <w:szCs w:val="22"/>
              </w:rPr>
              <w:t>Pneumoniae</w:t>
            </w:r>
            <w:proofErr w:type="spellEnd"/>
            <w:r>
              <w:rPr>
                <w:rFonts w:cs="Calibri"/>
                <w:sz w:val="22"/>
                <w:szCs w:val="22"/>
              </w:rPr>
              <w:t>: Sollten wir umfassender antworten? Ein Engpass bei den Antibiotika ist nicht alleinig erklärbar durch Bakterien, sondern durch erhöhte Nachfrage aufgrund resp. Infektionen im Allgemeinen-- Gespräch mit DGPI hat dazu bereit stattgefunden (Welche klinischen Bilder momentan dominierend</w:t>
            </w:r>
            <w:proofErr w:type="gramStart"/>
            <w:r>
              <w:rPr>
                <w:rFonts w:cs="Calibri"/>
                <w:sz w:val="22"/>
                <w:szCs w:val="22"/>
              </w:rPr>
              <w:t>?)–</w:t>
            </w:r>
            <w:proofErr w:type="gramEnd"/>
            <w:r>
              <w:rPr>
                <w:rFonts w:cs="Calibri"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Anekdotische Berichte von Häufungen von Co-Infektionen im Krankenhaus, z.B.  </w:t>
            </w:r>
            <w:proofErr w:type="spellStart"/>
            <w:r>
              <w:rPr>
                <w:rFonts w:cs="Calibri"/>
                <w:sz w:val="22"/>
                <w:szCs w:val="22"/>
              </w:rPr>
              <w:t>Staph</w:t>
            </w:r>
            <w:proofErr w:type="spellEnd"/>
            <w:r>
              <w:rPr>
                <w:rFonts w:cs="Calibri"/>
                <w:sz w:val="22"/>
                <w:szCs w:val="22"/>
              </w:rPr>
              <w:t>. Pyogenes/Influenza mit schweren ARDS; Können wir Co-Infektionen detektieren? – FG37: Wird in ARS ausgewertet, aber momentan noch nicht deutlich darstellbar; FG36: ICOSARI. Co-Infektionen über Diagnosecodes feststellbar, Einschätzung läuft;</w:t>
            </w:r>
          </w:p>
          <w:p>
            <w:pPr>
              <w:rPr>
                <w:rFonts w:cs="Calibri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FF0000"/>
                <w:sz w:val="22"/>
                <w:szCs w:val="22"/>
              </w:rPr>
              <w:t>To</w:t>
            </w:r>
            <w:proofErr w:type="spellEnd"/>
            <w:r>
              <w:rPr>
                <w:rFonts w:cs="Calibri"/>
                <w:color w:val="FF0000"/>
                <w:sz w:val="22"/>
                <w:szCs w:val="22"/>
              </w:rPr>
              <w:t xml:space="preserve"> Do</w:t>
            </w:r>
            <w:r>
              <w:rPr>
                <w:rFonts w:cs="Calibri"/>
                <w:sz w:val="22"/>
                <w:szCs w:val="22"/>
              </w:rPr>
              <w:t xml:space="preserve">: Ergebnisse der </w:t>
            </w:r>
            <w:proofErr w:type="spellStart"/>
            <w:r>
              <w:rPr>
                <w:rFonts w:cs="Calibri"/>
                <w:sz w:val="22"/>
                <w:szCs w:val="22"/>
              </w:rPr>
              <w:t>syndr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. Surveillance mit ARS-Daten abgleichen und umfassendere Schlussfolgerungen ziehen (FG36, FG37)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r>
              <w:t>AL3</w:t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r>
              <w:t>MF4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sz w:val="22"/>
              </w:rPr>
            </w:pPr>
            <w:r>
              <w:rPr>
                <w:sz w:val="22"/>
              </w:rPr>
              <w:t xml:space="preserve">FG36/FG17 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FG37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r>
              <w:t>FG36</w:t>
            </w:r>
          </w:p>
          <w:p/>
          <w:p/>
          <w:p/>
          <w:p/>
          <w:p/>
          <w:p/>
          <w:p/>
          <w:p/>
          <w:p/>
          <w:p/>
          <w:p/>
          <w:p>
            <w:r>
              <w:t>P4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FG36/37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Punkte für den Wochenbericht</w:t>
            </w:r>
          </w:p>
          <w:p>
            <w:pPr>
              <w:pStyle w:val="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Weiterhin Deeskalation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</w:pPr>
            <w:r>
              <w:rPr>
                <w:rStyle w:val="1Zchn"/>
                <w:sz w:val="24"/>
              </w:rPr>
              <w:t>Update Impfen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Folien </w:t>
            </w:r>
            <w:hyperlink r:id="rId2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TagFrZchn"/>
                <w:b w:val="0"/>
                <w:i w:val="0"/>
                <w:color w:val="auto"/>
              </w:rPr>
            </w:pPr>
            <w:r>
              <w:rPr>
                <w:rStyle w:val="TagFrZchn"/>
                <w:b w:val="0"/>
                <w:i w:val="0"/>
                <w:color w:val="auto"/>
              </w:rPr>
              <w:t>STIKO Beratung zur Impfempfehlung findet heute statt; 25.05 Publikation erwartet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TagFrZchn"/>
                <w:b w:val="0"/>
                <w:i w:val="0"/>
                <w:color w:val="auto"/>
              </w:rPr>
            </w:pPr>
            <w:r>
              <w:rPr>
                <w:rStyle w:val="TagFrZchn"/>
                <w:b w:val="0"/>
                <w:i w:val="0"/>
                <w:color w:val="auto"/>
              </w:rPr>
              <w:t xml:space="preserve">ECDC Vergleich Impfempfehlungen: Kein Land in der EU impft in kommender Saison impft noch Kinder; 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TagFrZch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TagFrZchn"/>
                <w:b w:val="0"/>
                <w:i w:val="0"/>
                <w:color w:val="auto"/>
              </w:rPr>
              <w:t>COVID Varianten für nächste Impfstoffanpassung: Wuhan-Stamm soll entfallen;</w:t>
            </w:r>
            <w:r>
              <w:rPr>
                <w:rStyle w:val="TagFrZch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agFrZchn"/>
                <w:b w:val="0"/>
                <w:i w:val="0"/>
                <w:color w:val="auto"/>
              </w:rPr>
              <w:t>Monoimpfoffe</w:t>
            </w:r>
            <w:proofErr w:type="spellEnd"/>
            <w:r>
              <w:rPr>
                <w:rStyle w:val="TagFrZchn"/>
                <w:b w:val="0"/>
                <w:i w:val="0"/>
                <w:color w:val="auto"/>
              </w:rPr>
              <w:t>;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TagFrZchn"/>
                <w:b w:val="0"/>
                <w:i w:val="0"/>
                <w:color w:val="auto"/>
              </w:rPr>
            </w:pPr>
            <w:r>
              <w:rPr>
                <w:rStyle w:val="TagFrZchn"/>
                <w:b w:val="0"/>
                <w:i w:val="0"/>
                <w:color w:val="auto"/>
              </w:rPr>
              <w:t xml:space="preserve">Technical </w:t>
            </w:r>
            <w:proofErr w:type="spellStart"/>
            <w:r>
              <w:rPr>
                <w:rStyle w:val="TagFrZchn"/>
                <w:b w:val="0"/>
                <w:i w:val="0"/>
                <w:color w:val="auto"/>
              </w:rPr>
              <w:t>advisory</w:t>
            </w:r>
            <w:proofErr w:type="spellEnd"/>
            <w:r>
              <w:rPr>
                <w:rStyle w:val="TagFrZchn"/>
                <w:b w:val="0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TagFrZchn"/>
                <w:b w:val="0"/>
                <w:i w:val="0"/>
                <w:color w:val="auto"/>
              </w:rPr>
              <w:t>group</w:t>
            </w:r>
            <w:proofErr w:type="spellEnd"/>
            <w:r>
              <w:rPr>
                <w:rStyle w:val="TagFrZchn"/>
                <w:b w:val="0"/>
                <w:i w:val="0"/>
                <w:color w:val="auto"/>
              </w:rPr>
              <w:t xml:space="preserve"> der WHO wird wohl gemeinsam mit FDA/EMA über Stämme im Impfstoff entscheiden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TagFrZchn"/>
                <w:b w:val="0"/>
                <w:i w:val="0"/>
                <w:color w:val="auto"/>
              </w:rPr>
            </w:pPr>
            <w:r>
              <w:rPr>
                <w:rStyle w:val="TagFrZchn"/>
                <w:b w:val="0"/>
                <w:i w:val="0"/>
                <w:color w:val="auto"/>
              </w:rPr>
              <w:t>04.05 letzter Monatsbericht Impfen erschienen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2"/>
                <w:szCs w:val="22"/>
              </w:rPr>
              <w:lastRenderedPageBreak/>
              <w:t>Lücke Anspruch Impfschaden aufgrund fehlender STIKO Empfehlung; § 60 IfSG soll hier angepasst werden.</w:t>
            </w:r>
            <w:r>
              <w:rPr>
                <w:rStyle w:val="1Zchn"/>
                <w:b w:val="0"/>
                <w:sz w:val="24"/>
              </w:rPr>
              <w:t xml:space="preserve">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Update digitale Projekte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  <w:sz w:val="24"/>
              </w:rPr>
            </w:pPr>
            <w:r>
              <w:rPr>
                <w:rStyle w:val="1Zchn"/>
                <w:sz w:val="24"/>
              </w:rPr>
              <w:t>Daten aus der Gesundheitsberichterstattung</w:t>
            </w:r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Folien </w:t>
            </w:r>
            <w:hyperlink r:id="rId2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„Überzeugungskraft verschiedener Informationsquellen auf die COVID-19-Impfentscheidung. Ergebnisse aus der Studie Corona-Monitoring bundesweit – Welle 2"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proofErr w:type="spellStart"/>
            <w:r>
              <w:rPr>
                <w:rStyle w:val="1Zchn"/>
                <w:b w:val="0"/>
                <w:sz w:val="22"/>
                <w:szCs w:val="22"/>
              </w:rPr>
              <w:t>Infodemie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>: gezielte Fehl- und Falschinformationen u.a. in sozialen Medien, Messenger-Diensten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Infoquelle: Nicht Häufigkeit der Nutzung angeschaut, sondern Überzeugungskraft einer Quelle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Klassische Medien und Gespräche mit Verwandten/Freunden: größte Überzeugungskraft zu impfen</w:t>
            </w:r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Nach Impfstatus aufgeschlüsselt: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Angabe: soziale Netzwerke/Messenger-Dienste: Signifikant als hauptsächlich überzeugende Quelle von Ungeimpften genutzt. 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Ergebnisse in Regressionsmodellen bestätigt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Ungeimpfte sehen soziale Medien als überzeugende Informationsquelle; Gesprächen mit Ärzten/Ärztinnen waren überzeugende Informationsquelle bei G</w:t>
            </w:r>
            <w:bookmarkStart w:id="1" w:name="_GoBack"/>
            <w:bookmarkEnd w:id="1"/>
            <w:r>
              <w:rPr>
                <w:rStyle w:val="1Zchn"/>
                <w:b w:val="0"/>
                <w:sz w:val="22"/>
                <w:szCs w:val="22"/>
              </w:rPr>
              <w:t>eimpften</w:t>
            </w:r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Manuskript und Vortrag in Vorbereitung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Jordan (FG27)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Risikobewertung</w:t>
            </w:r>
          </w:p>
          <w:p>
            <w:pPr>
              <w:pStyle w:val="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Siehe Punkt 9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rPr>
                <w:sz w:val="24"/>
              </w:rP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Aufräumen der Internetseite: wie gehen wir mit Steckbrief künftig um? Vorschlag und Diskussion in der nächsten Lage-AG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rPr>
                <w:b/>
              </w:rPr>
            </w:pPr>
            <w:r>
              <w:rPr>
                <w:b/>
              </w:rPr>
              <w:t>Strategiefragen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1"/>
            </w:pPr>
            <w:r>
              <w:rPr>
                <w:u w:val="single"/>
              </w:rPr>
              <w:t>Beendigung PHEIC: Implikationen? Konsequenzen?</w:t>
            </w:r>
            <w:r>
              <w:t xml:space="preserve"> –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Im Wochenbericht erwähnen;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In ARE Wochenbericht Hinweis auf Ende PHEIC aufnehmen;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Von Seiten ECDC wurde die Situation genutzt, um Berichterstattung nach Rücksprache mit den Ländern weitestgehend einzustellen;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lastRenderedPageBreak/>
              <w:t xml:space="preserve">Interpretation der Empfehlungen und Angaben der WHO Zum Ende PHEIC für D? – </w:t>
            </w:r>
            <w:proofErr w:type="spellStart"/>
            <w:r>
              <w:rPr>
                <w:highlight w:val="yellow"/>
              </w:rPr>
              <w:t>EpiDBull</w:t>
            </w:r>
            <w:proofErr w:type="spellEnd"/>
            <w:r>
              <w:rPr>
                <w:highlight w:val="yellow"/>
              </w:rPr>
              <w:t>-Artikel bis Ende Mai (wer?),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To</w:t>
            </w:r>
            <w:proofErr w:type="spellEnd"/>
            <w:r>
              <w:rPr>
                <w:color w:val="FF0000"/>
              </w:rPr>
              <w:t xml:space="preserve"> Do: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proofErr w:type="gramStart"/>
            <w:r>
              <w:t>Alle Dokument</w:t>
            </w:r>
            <w:proofErr w:type="gramEnd"/>
            <w:r>
              <w:t xml:space="preserve"> kontrollieren, ob aufgrund des Endes der PHEIC Modifikation notwendig sind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Konzept der COVID-Berichtanpassung und Interpretation Ende PHEIC mit BMG klären (Leitung)</w:t>
            </w:r>
          </w:p>
          <w:p>
            <w:pPr>
              <w:pStyle w:val="Liste1"/>
              <w:numPr>
                <w:ilvl w:val="0"/>
                <w:numId w:val="0"/>
              </w:numPr>
              <w:ind w:left="72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Anpassung COVID-Wochenbericht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Ende des Monats letzter Wochenbericht; zum 01.06 Übergang Kurzinformationen zu COVID-19 in ARE Wochenbericht;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Möglichst schlanke Lösung mit Verweis auf Internet-Quellen, Bewertung und Erklärung der Systeme nur auf den Seiten der Systeme selbst; Risikobewertung würde somit entfallen.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Wird dem BMG im JF vorgeschlagen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rPr>
                <w:color w:val="FF0000"/>
              </w:rPr>
              <w:t xml:space="preserve">Aufgabe an: </w:t>
            </w:r>
            <w:r>
              <w:t xml:space="preserve">FG36 mit Unterstützung FG32 vorbereiten. 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 xml:space="preserve">Bericht COVID-Kennzahlen für </w:t>
            </w:r>
            <w:proofErr w:type="spellStart"/>
            <w:r>
              <w:rPr>
                <w:b/>
              </w:rPr>
              <w:t>BkA</w:t>
            </w:r>
            <w:proofErr w:type="spellEnd"/>
            <w:r>
              <w:rPr>
                <w:b/>
              </w:rPr>
              <w:t xml:space="preserve">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 xml:space="preserve">Vorlage </w:t>
            </w:r>
            <w:hyperlink r:id="rId23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Monatsübersicht: aufgrund der rückläufigen Testfrequenz wohl bald ohne hohe Aussagekraft mehr; außer in Krankenhäusern;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Es sollte auf </w:t>
            </w:r>
            <w:proofErr w:type="spellStart"/>
            <w:r>
              <w:t>auf</w:t>
            </w:r>
            <w:proofErr w:type="spellEnd"/>
            <w:r>
              <w:t xml:space="preserve"> </w:t>
            </w:r>
            <w:proofErr w:type="spellStart"/>
            <w:r>
              <w:t>syndr</w:t>
            </w:r>
            <w:proofErr w:type="spellEnd"/>
            <w:r>
              <w:t>. Surveillance und einen zusätzlichen Indikator zurückgegriffen werden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Grobe Struktur beibehalten,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Kommunikationsweg: via BMG oder direkt? Via BMG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rPr>
                <w:color w:val="FF0000"/>
              </w:rPr>
              <w:t xml:space="preserve">Aufgabe: </w:t>
            </w:r>
            <w:r>
              <w:t xml:space="preserve">Vorschlag und Rückmeldung bis Morgen Mittag; Abt. 3; </w:t>
            </w:r>
          </w:p>
          <w:p>
            <w:pPr>
              <w:pStyle w:val="Liste1"/>
              <w:numPr>
                <w:ilvl w:val="0"/>
                <w:numId w:val="0"/>
              </w:numPr>
              <w:ind w:left="72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 xml:space="preserve">AGI-Feedback zu Empfehlungen Entlass-Management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Empfehlungen für Alten-Pflegeheime und in nosokomialen Settings werden als zu streng betrachtet (7 Tage Isolation, anschließend Test bei Symptomen); 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Antwort an BL: Es gibt gute Gründe dafür die Empfehlungen so zu belassen; - KRINKO Empfehlungen im Herbst erwartet</w:t>
            </w:r>
          </w:p>
          <w:p>
            <w:pPr>
              <w:pStyle w:val="Liste1"/>
              <w:numPr>
                <w:ilvl w:val="0"/>
                <w:numId w:val="0"/>
              </w:numPr>
              <w:ind w:left="720"/>
            </w:pPr>
          </w:p>
          <w:p>
            <w:pPr>
              <w:pStyle w:val="Liste1"/>
              <w:numPr>
                <w:ilvl w:val="0"/>
                <w:numId w:val="0"/>
              </w:numPr>
              <w:ind w:left="357" w:hanging="357"/>
            </w:pPr>
            <w:r>
              <w:t>Allgemeine Quarantäne und Isolationsregelungen sollen auf Ministerweisung, so wie momentan ausgewiesen, beibehalten werden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Labordiagnostik</w:t>
            </w:r>
          </w:p>
          <w:p>
            <w:pPr>
              <w:pStyle w:val="2"/>
            </w:pPr>
            <w:r>
              <w:t>FG17/ZBS1</w:t>
            </w:r>
          </w:p>
          <w:p>
            <w:pPr>
              <w:pStyle w:val="2"/>
              <w:rPr>
                <w:b w:val="0"/>
              </w:rPr>
            </w:pPr>
            <w:r>
              <w:rPr>
                <w:b w:val="0"/>
              </w:rPr>
              <w:t>Keine Ergänzungen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FG17/ZBS1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Surveillance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 xml:space="preserve">Meldepflicht § 6 IfSG: Aufforderung von Seiten des BMG zur Stellungnahme; Max Vorschlag: Verdachtsmeldungen sollten entfallen. Schwere </w:t>
            </w:r>
            <w:proofErr w:type="spellStart"/>
            <w:r>
              <w:t>hosp</w:t>
            </w:r>
            <w:proofErr w:type="spellEnd"/>
            <w:r>
              <w:t>. SARI Fälle werden weiterhin über §7 gemeldet; Angleichung an Influenza-Meldungen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t>Begründung befindet sich noch in Abstimmung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Transport und Grenzübergangsstellen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Information aus der Koordinierungsstelle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  <w:numPr>
                <w:ilvl w:val="0"/>
                <w:numId w:val="13"/>
              </w:numPr>
              <w:ind w:left="470" w:hanging="357"/>
            </w:pPr>
            <w:r>
              <w:t>Erinnerung Anmeldung zum AAR Krisenmanagement am 8. und 9.6.2023; Sehr generisch und umfassend</w:t>
            </w:r>
          </w:p>
          <w:p>
            <w:pPr>
              <w:pStyle w:val="Liste1"/>
            </w:pPr>
            <w:r>
              <w:t xml:space="preserve">Erlasse auf klassischem Weg kanalisieren anstatt über Koordinierungsstelle: Planen ab dem 01.06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Termine</w:t>
            </w:r>
          </w:p>
          <w:p>
            <w:pPr>
              <w:pStyle w:val="Liste1"/>
            </w:pPr>
            <w:r>
              <w:t>Siehe Punkt 17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Andere Themen</w:t>
            </w:r>
          </w:p>
          <w:p>
            <w:pPr>
              <w:pStyle w:val="Liste1"/>
            </w:pPr>
            <w:r>
              <w:t xml:space="preserve">Nächste Sitzung: 24.05.2023, 11 Uhr, via </w:t>
            </w:r>
            <w:proofErr w:type="spellStart"/>
            <w:r>
              <w:t>Webex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69634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69635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69633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680C"/>
    <w:multiLevelType w:val="hybridMultilevel"/>
    <w:tmpl w:val="E676FB42"/>
    <w:lvl w:ilvl="0" w:tplc="9A0EB46A">
      <w:start w:val="36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F0021"/>
    <w:multiLevelType w:val="hybridMultilevel"/>
    <w:tmpl w:val="877663D2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6" w15:restartNumberingAfterBreak="0">
    <w:nsid w:val="3B531B59"/>
    <w:multiLevelType w:val="hybridMultilevel"/>
    <w:tmpl w:val="D7742D68"/>
    <w:lvl w:ilvl="0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06BA7"/>
    <w:multiLevelType w:val="hybridMultilevel"/>
    <w:tmpl w:val="BED6BC28"/>
    <w:lvl w:ilvl="0" w:tplc="35CC61A0">
      <w:start w:val="1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F68ED"/>
    <w:multiLevelType w:val="hybridMultilevel"/>
    <w:tmpl w:val="0D18B2B6"/>
    <w:lvl w:ilvl="0" w:tplc="71F40AC2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C4488CD8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6"/>
    <o:shapelayout v:ext="edit">
      <o:idmap v:ext="edit" data="68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6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syndrom-ARE-SARI-COVID_bis_KW18_2023_f&#252;r-Krisenstab.ppt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Impf-Update_Lage-AG_23-05-10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syndrom-ARE-SARI-COVID_bis_KW18_2023_f&#252;r-Krisenstab.ppt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2023-05-10_Intensivregister.pptx" TargetMode="External"/><Relationship Id="rId20" Type="http://schemas.openxmlformats.org/officeDocument/2006/relationships/hyperlink" Target="2023-05_10_LageAG-VOC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LageNational_2023-05-10.pptx" TargetMode="External"/><Relationship Id="rId23" Type="http://schemas.openxmlformats.org/officeDocument/2006/relationships/hyperlink" Target="Entwurf-Kennzahlen_BKAmt-Monatsbericht.pptx" TargetMode="External"/><Relationship Id="rId10" Type="http://schemas.openxmlformats.org/officeDocument/2006/relationships/footer" Target="footer1.xml"/><Relationship Id="rId19" Type="http://schemas.openxmlformats.org/officeDocument/2006/relationships/hyperlink" Target="2023-05-10_ARS-Testzahlen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COVID-19_internat.%20Lage_2023-05-10.pptx" TargetMode="External"/><Relationship Id="rId22" Type="http://schemas.openxmlformats.org/officeDocument/2006/relationships/hyperlink" Target="Jordan%20etal_Infoquellen_Krisenstab_V2_20230510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33FD-AE90-491C-ABA8-4CDA5A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jor</cp:lastModifiedBy>
  <cp:revision>29</cp:revision>
  <cp:lastPrinted>2020-05-06T16:43:00Z</cp:lastPrinted>
  <dcterms:created xsi:type="dcterms:W3CDTF">2023-05-10T06:58:00Z</dcterms:created>
  <dcterms:modified xsi:type="dcterms:W3CDTF">2023-05-22T18:50:00Z</dcterms:modified>
</cp:coreProperties>
</file>