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Wochentag, 24.05.2023,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Andreas Gilsdorf</w:t>
      </w:r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Thorsten Wolff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FG23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 24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Siffczyk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Alexandra Hofmann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Amrei Wolter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Annika Heck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Nadine Püschel (Protokoll)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Sievers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Jonathan Fischer-Fels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Agata Mikolajewska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MF2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MF3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Janina Esins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Julia </w:t>
      </w:r>
      <w:proofErr w:type="spellStart"/>
      <w:r>
        <w:rPr>
          <w:sz w:val="22"/>
          <w:szCs w:val="22"/>
        </w:rPr>
        <w:t>Pantoglou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Jamela Seedat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Sarah Esquevin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ZIG2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 xml:space="preserve">Lukas </w:t>
      </w:r>
      <w:proofErr w:type="spellStart"/>
      <w:r>
        <w:rPr>
          <w:rStyle w:val="highlight"/>
          <w:sz w:val="22"/>
          <w:szCs w:val="22"/>
        </w:rPr>
        <w:t>Feddern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ZIG4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</w:rPr>
        <w:t>Mirco Steffens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BMG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Aktuelle Lage </w:t>
            </w:r>
          </w:p>
          <w:p>
            <w:pPr>
              <w:spacing w:line="276" w:lineRule="auto"/>
              <w:rPr>
                <w:rStyle w:val="TagMiZchn"/>
                <w:bCs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spacing w:line="276" w:lineRule="auto"/>
            </w:pPr>
            <w:r>
              <w:t>(nicht berichtet)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Weltweit: Fälle: 965.373 (14d), Todesfälle: 7.368 (14d)</w:t>
            </w:r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17.05.2023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Das globale Infektionsgeschehen nimmt weiterhin ab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Afrika: sinkende Fall- und Todeszahlen. </w:t>
            </w:r>
            <w:proofErr w:type="spellStart"/>
            <w:r>
              <w:rPr>
                <w:lang w:val="de-DE"/>
              </w:rPr>
              <w:t>Keine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relevanten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Anstiege</w:t>
            </w:r>
            <w:proofErr w:type="spellEnd"/>
            <w:r>
              <w:rPr>
                <w:lang w:val="de-DE"/>
              </w:rPr>
              <w:t xml:space="preserve"> in </w:t>
            </w:r>
            <w:proofErr w:type="spellStart"/>
            <w:r>
              <w:rPr>
                <w:lang w:val="de-DE"/>
              </w:rPr>
              <w:t>einzelnen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Ländern</w:t>
            </w:r>
            <w:proofErr w:type="spellEnd"/>
            <w:r>
              <w:rPr>
                <w:lang w:val="de-DE"/>
              </w:rP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Amerika: sinkende Fall- und Todeszahlen. </w:t>
            </w:r>
            <w:proofErr w:type="spellStart"/>
            <w:r>
              <w:rPr>
                <w:lang w:val="de-DE"/>
              </w:rPr>
              <w:t>Prozentualer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Anstieg</w:t>
            </w:r>
            <w:proofErr w:type="spellEnd"/>
            <w:r>
              <w:rPr>
                <w:lang w:val="de-DE"/>
              </w:rPr>
              <w:t xml:space="preserve"> der </w:t>
            </w:r>
            <w:proofErr w:type="spellStart"/>
            <w:r>
              <w:rPr>
                <w:lang w:val="de-DE"/>
              </w:rPr>
              <w:t>Todeszahlen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bei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niedrigen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absoluten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Zahlen</w:t>
            </w:r>
            <w:proofErr w:type="spellEnd"/>
            <w:r>
              <w:rPr>
                <w:lang w:val="de-DE"/>
              </w:rPr>
              <w:t xml:space="preserve"> (+24% </w:t>
            </w:r>
            <w:proofErr w:type="spellStart"/>
            <w:r>
              <w:rPr>
                <w:lang w:val="de-DE"/>
              </w:rPr>
              <w:t>innerhalb</w:t>
            </w:r>
            <w:proofErr w:type="spellEnd"/>
            <w:r>
              <w:rPr>
                <w:lang w:val="de-DE"/>
              </w:rPr>
              <w:t xml:space="preserve"> von 14 </w:t>
            </w:r>
            <w:proofErr w:type="spellStart"/>
            <w:r>
              <w:rPr>
                <w:lang w:val="de-DE"/>
              </w:rPr>
              <w:t>Tagen</w:t>
            </w:r>
            <w:proofErr w:type="spellEnd"/>
            <w:r>
              <w:rPr>
                <w:lang w:val="de-DE"/>
              </w:rPr>
              <w:t xml:space="preserve">). </w:t>
            </w:r>
            <w:proofErr w:type="spellStart"/>
            <w:r>
              <w:rPr>
                <w:lang w:val="de-DE"/>
              </w:rPr>
              <w:t>Keine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relevanten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Anstiege</w:t>
            </w:r>
            <w:proofErr w:type="spellEnd"/>
            <w:r>
              <w:rPr>
                <w:lang w:val="de-DE"/>
              </w:rPr>
              <w:t xml:space="preserve"> in </w:t>
            </w:r>
            <w:proofErr w:type="spellStart"/>
            <w:r>
              <w:rPr>
                <w:lang w:val="de-DE"/>
              </w:rPr>
              <w:t>einzelnen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Ländern</w:t>
            </w:r>
            <w:proofErr w:type="spellEnd"/>
            <w:r>
              <w:rPr>
                <w:lang w:val="de-DE"/>
              </w:rPr>
              <w:t xml:space="preserve">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Asien: sinkende Fall- und Todeszahlen. Fallzahlanstiege in Bangladesch (+102%), Sri Lanka (+106%), Myanmar (+113%) und Philippinen (+123%) ohne signifikante Anstiege der Todeszahlen. Fallzahlen weiterhin rückläufig in Indien (-76%).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Europa: sinkende Fall- und Todeszahlen. Keine relevanten Anstiege in einzelnen Ländern. Mit Stand 14.05.2023 zeigte sich ein Rückgang der Fallzahlen, Hospitalisierungen, Intensivbelegung und Todeszahlen.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Ozeanien: sinkende Fall- und Todeszahlen. Keine relevanten Anstiege in einzelnen Ländern.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XBB.2.3 (</w:t>
            </w:r>
            <w:proofErr w:type="spellStart"/>
            <w:r>
              <w:rPr>
                <w:lang w:val="de-DE"/>
              </w:rPr>
              <w:t>Acrux</w:t>
            </w:r>
            <w:proofErr w:type="spellEnd"/>
            <w:r>
              <w:rPr>
                <w:lang w:val="de-DE"/>
              </w:rPr>
              <w:t>) seit 17.05.2023 als VUM geführt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</w:pPr>
            <w:proofErr w:type="spellStart"/>
            <w:r>
              <w:t>ToDo</w:t>
            </w:r>
            <w:proofErr w:type="spellEnd"/>
            <w:r>
              <w:t xml:space="preserve">: 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r>
              <w:t xml:space="preserve">Fallzahlen,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5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38.424.437.XXX.XXX (+1.137), davon 174.110 (+78) Todesfälle </w:t>
            </w:r>
          </w:p>
          <w:p>
            <w:pPr>
              <w:pStyle w:val="Liste2"/>
            </w:pPr>
            <w:r>
              <w:t xml:space="preserve">7-Tage-Inzidenz:  4,5/100.000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64.876.933 (77,9%), mit vollständiger Impfung 63.563.780 (76,4%)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Abwärtstrend in allen BL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Anzahl neuer Fälle auf konstant niedrigem Niveau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Starker Rückgang bei Todesfallzahl seit KW12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Abwärtstrend Hospitalisierungsinzidenz in </w:t>
            </w:r>
            <w:proofErr w:type="spellStart"/>
            <w:r>
              <w:rPr>
                <w:lang w:val="de-DE"/>
              </w:rPr>
              <w:t>alen</w:t>
            </w:r>
            <w:proofErr w:type="spellEnd"/>
            <w:r>
              <w:rPr>
                <w:lang w:val="de-DE"/>
              </w:rPr>
              <w:t xml:space="preserve"> BL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lang w:val="de-DE"/>
              </w:rPr>
              <w:t>Testkapazität und Testungen</w:t>
            </w:r>
            <w:r>
              <w:rPr>
                <w:lang w:val="de-DE"/>
              </w:rPr>
              <w:t xml:space="preserve">, Folien </w:t>
            </w:r>
            <w:hyperlink r:id="rId16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ARS-Daten</w:t>
            </w:r>
          </w:p>
          <w:p>
            <w:pPr>
              <w:pStyle w:val="Liste3"/>
            </w:pPr>
            <w:r>
              <w:t>Rückgang Anzahl Testungen (Feiertag plus Brückentag)</w:t>
            </w:r>
          </w:p>
          <w:p>
            <w:pPr>
              <w:pStyle w:val="Liste2"/>
            </w:pPr>
            <w:r>
              <w:t>VOC-</w:t>
            </w:r>
            <w:proofErr w:type="spellStart"/>
            <w:r>
              <w:t>Bericht</w:t>
            </w:r>
            <w:proofErr w:type="spellEnd"/>
            <w:r>
              <w:t xml:space="preserve">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7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</w:pPr>
            <w:r>
              <w:t xml:space="preserve">Molekulare Surveillance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</w:pPr>
            <w:r>
              <w:t>(nicht berichtet)</w:t>
            </w:r>
          </w:p>
          <w:p>
            <w:pPr>
              <w:pStyle w:val="Liste2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b/>
                <w:i/>
              </w:rPr>
              <w:t xml:space="preserve">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8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Der Wert (gesamt) lag in </w:t>
            </w:r>
            <w:r>
              <w:rPr>
                <w:bCs/>
                <w:lang w:val="de-DE"/>
              </w:rPr>
              <w:t xml:space="preserve">KW 20 </w:t>
            </w:r>
            <w:r>
              <w:rPr>
                <w:lang w:val="de-DE"/>
              </w:rPr>
              <w:t xml:space="preserve">bei </w:t>
            </w:r>
            <w:r>
              <w:rPr>
                <w:bCs/>
                <w:lang w:val="de-DE"/>
              </w:rPr>
              <w:t>6.100</w:t>
            </w:r>
            <w:r>
              <w:rPr>
                <w:lang w:val="de-DE"/>
              </w:rPr>
              <w:t xml:space="preserve"> ARE (in der 19. KW: 5.700) pro 100.000 Einwohner.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Entspricht einer Gesamtzahl von </w:t>
            </w:r>
            <w:r>
              <w:rPr>
                <w:bCs/>
                <w:lang w:val="de-DE"/>
              </w:rPr>
              <w:t>5,1 Mio. ARE in Deutschland, unabhängig von einem Arztbesuch.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 Vergleich zur Vorwoche: Rückgang bei Kindern bis 14 Jahre; Anstieg bei den Erwachsenen ab 15 Jahre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bCs/>
                <w:lang w:val="de-DE"/>
              </w:rPr>
              <w:t>ARE gesamt: zwischen 17. KW und 19. KW relativ stabil, in KW 20 leichter Anstieg der ARE-Rate</w:t>
            </w:r>
            <w:r>
              <w:rPr>
                <w:lang w:val="de-DE"/>
              </w:rPr>
              <w:t xml:space="preserve">; </w:t>
            </w:r>
            <w:r>
              <w:rPr>
                <w:bCs/>
                <w:lang w:val="de-DE"/>
              </w:rPr>
              <w:t>KW 20: 6,1 % (Vorwoche: 5,7 %)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Höhepunkt 50. KW 2022 mit 11,1 %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ARE-gesamt in KW 20 über dem Wertebereich der vorpandemischen Jahre (2012-2019), 5AG: 0-4J. Im Wertebereich, alle anderen AGs darüber (insbesondere 5-14J./15-34J.)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bCs/>
                <w:lang w:val="de-DE"/>
              </w:rPr>
              <w:t>ILI gesamt: gesunken</w:t>
            </w:r>
            <w:r>
              <w:rPr>
                <w:lang w:val="de-DE"/>
              </w:rPr>
              <w:t>: 1,0 % (Vorwoche: 1,2 %)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ARE mit COVID-19 Konsultationen bis zur 20. KW 2023</w:t>
            </w:r>
            <w:r>
              <w:rPr>
                <w:lang w:val="de-DE"/>
              </w:rPr>
              <w:t xml:space="preserve">: </w:t>
            </w:r>
            <w:r>
              <w:rPr>
                <w:lang w:val="de-DE"/>
              </w:rPr>
              <w:t>Rund 16 Arzt</w:t>
            </w:r>
            <w:r>
              <w:rPr>
                <w:lang w:val="de-DE"/>
              </w:rPr>
              <w:softHyphen/>
              <w:t>besuche ARE mit COVID-Diagnose /100.000 EW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SARI-Fallzahlen sowie SARI mit Intensivbehandlung und verstorbene SARI lagen in den letzten Wochen auf Niveau der vorpandemischen Jahre, weiterhin leicht rückläufig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bCs/>
                <w:lang w:val="de-DE"/>
              </w:rPr>
              <w:t xml:space="preserve">Anteile COVID </w:t>
            </w:r>
            <w:r>
              <w:rPr>
                <w:lang w:val="de-DE"/>
              </w:rPr>
              <w:t xml:space="preserve">Diagnosen an SARI sinkt kaum noch, scheint sich bei etwa 10 % einzupegeln.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Anteil von COVID an SARI mit Intensivbehandlung schwankend bei ca. 15-20%; Influenza und RSV nur noch vereinzelt.</w:t>
            </w:r>
          </w:p>
          <w:p>
            <w:pPr>
              <w:pStyle w:val="Liste2"/>
              <w:rPr>
                <w:rStyle w:val="TagMiZchn"/>
                <w:b w:val="0"/>
                <w:lang w:val="de-DE"/>
              </w:rPr>
            </w:pPr>
            <w:r>
              <w:rPr>
                <w:lang w:val="de-DE"/>
              </w:rPr>
              <w:t xml:space="preserve">Virologische Surveillance, NRZ Influenza-Daten, Folien </w:t>
            </w:r>
            <w:hyperlink r:id="rId19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lang w:val="de-DE"/>
              </w:rPr>
              <w:t xml:space="preserve"> </w:t>
            </w:r>
          </w:p>
          <w:p>
            <w:pPr>
              <w:pStyle w:val="Liste2"/>
              <w:rPr>
                <w:bCs/>
                <w:i/>
                <w:color w:val="D99594" w:themeColor="accent2" w:themeTint="99"/>
                <w:lang w:val="de-DE"/>
              </w:rPr>
            </w:pPr>
            <w:r>
              <w:rPr>
                <w:lang w:val="de-DE"/>
              </w:rPr>
              <w:t xml:space="preserve">Zahlen zum DIVI-Intensivregister, Folien </w:t>
            </w:r>
            <w:hyperlink r:id="rId20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Mit Stand 23.05.2023 werden 265 COVID-19-Patient*innen auf Intensivstationen gemeldet.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Stete Reduktion in der COVID-ITS-Belegung</w:t>
            </w:r>
          </w:p>
          <w:p>
            <w:pPr>
              <w:pStyle w:val="Liste2"/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lang w:val="de-DE"/>
              </w:rPr>
              <w:t>ITS-COVID-Neuaufnahmen mit +160 in den letzten 7 Tagen</w:t>
            </w:r>
          </w:p>
          <w:p>
            <w:pPr>
              <w:pStyle w:val="Liste2"/>
            </w:pPr>
            <w:proofErr w:type="spellStart"/>
            <w:r>
              <w:t>Modellierungen</w:t>
            </w:r>
            <w:proofErr w:type="spellEnd"/>
            <w:r>
              <w:t xml:space="preserve">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Wichtige Punkte für den Wochenbericht</w:t>
            </w:r>
          </w:p>
          <w:p>
            <w:pPr>
              <w:pStyle w:val="Liste2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Gespräch zum weiteren Vorgehen zum Wochenbericht am Montag wurde abgesagt, neuer Termin steht noch nicht fest</w:t>
            </w:r>
          </w:p>
          <w:p>
            <w:pPr>
              <w:pStyle w:val="Liste2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Weiteres Vorgehen Wochenbericht: beziehen auf Initiativ-Bericht aus dem April zur Berichterstattung; Reduktion </w:t>
            </w:r>
            <w:r>
              <w:rPr>
                <w:sz w:val="24"/>
                <w:lang w:val="de-DE"/>
              </w:rPr>
              <w:t xml:space="preserve">der Berichtsfrequenz wurde </w:t>
            </w:r>
            <w:r>
              <w:rPr>
                <w:sz w:val="24"/>
                <w:lang w:val="de-DE"/>
              </w:rPr>
              <w:t xml:space="preserve">da </w:t>
            </w:r>
            <w:r>
              <w:rPr>
                <w:sz w:val="24"/>
                <w:lang w:val="de-DE"/>
              </w:rPr>
              <w:t>zugestimm</w:t>
            </w:r>
            <w:r>
              <w:rPr>
                <w:sz w:val="24"/>
                <w:lang w:val="de-DE"/>
              </w:rPr>
              <w:t>t</w:t>
            </w:r>
          </w:p>
          <w:p>
            <w:pPr>
              <w:pStyle w:val="Liste2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Weitere Planung mit gekürztem </w:t>
            </w:r>
            <w:proofErr w:type="spellStart"/>
            <w:r>
              <w:rPr>
                <w:sz w:val="24"/>
                <w:lang w:val="de-DE"/>
              </w:rPr>
              <w:t>Wochenberich</w:t>
            </w:r>
            <w:proofErr w:type="spellEnd"/>
            <w:r>
              <w:rPr>
                <w:sz w:val="24"/>
                <w:lang w:val="de-DE"/>
              </w:rPr>
              <w:t>, bis andere Info erfolgen sollte</w:t>
            </w:r>
          </w:p>
          <w:p>
            <w:pPr>
              <w:pStyle w:val="Liste2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Alle Daten, die in Bewertung der Gesamtsituation einfließen, sollen deutlich im Wochenbericht zum Ausdruck gebracht werden</w:t>
            </w:r>
          </w:p>
          <w:p>
            <w:pPr>
              <w:pStyle w:val="Liste2"/>
              <w:rPr>
                <w:sz w:val="24"/>
                <w:lang w:val="de-DE"/>
              </w:rPr>
            </w:pPr>
            <w:proofErr w:type="spellStart"/>
            <w:r>
              <w:rPr>
                <w:sz w:val="24"/>
                <w:lang w:val="de-DE"/>
              </w:rPr>
              <w:t>WoBe</w:t>
            </w:r>
            <w:proofErr w:type="spellEnd"/>
            <w:r>
              <w:rPr>
                <w:sz w:val="24"/>
                <w:lang w:val="de-DE"/>
              </w:rPr>
              <w:t xml:space="preserve"> mit markierten Kürzungsvorschlagen liegt </w:t>
            </w:r>
            <w:hyperlink r:id="rId21" w:history="1">
              <w:r>
                <w:rPr>
                  <w:rStyle w:val="Hyperlink"/>
                  <w:sz w:val="24"/>
                  <w:lang w:val="de-DE"/>
                </w:rPr>
                <w:t>hier:</w:t>
              </w:r>
            </w:hyperlink>
          </w:p>
          <w:p>
            <w:pPr>
              <w:pStyle w:val="Liste2"/>
              <w:numPr>
                <w:ilvl w:val="0"/>
                <w:numId w:val="0"/>
              </w:numPr>
              <w:ind w:left="473"/>
              <w:rPr>
                <w:sz w:val="24"/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  <w:sz w:val="24"/>
                <w:szCs w:val="24"/>
              </w:rPr>
            </w:pPr>
            <w:r>
              <w:rPr>
                <w:rStyle w:val="1Zchn"/>
                <w:sz w:val="24"/>
              </w:rPr>
              <w:t>Update Impfen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STIKO</w:t>
            </w:r>
          </w:p>
          <w:p>
            <w:pPr>
              <w:spacing w:line="276" w:lineRule="auto"/>
              <w:rPr>
                <w:rStyle w:val="1Zchn"/>
              </w:rPr>
            </w:pPr>
            <w:r>
              <w:lastRenderedPageBreak/>
              <w:t xml:space="preserve">Hinweis: Am 25.05.2023 erscheint STIKO Empfehlung, die die COVID-19 Impfung in die allgemeinen Impfempfehlungen mit aufnimmt.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 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  <w:sz w:val="24"/>
                <w:szCs w:val="24"/>
              </w:rPr>
            </w:pPr>
            <w:r>
              <w:rPr>
                <w:rStyle w:val="1Zchn"/>
                <w:sz w:val="24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 xml:space="preserve">ACGSL </w:t>
            </w:r>
            <w:r>
              <w:rPr>
                <w:highlight w:val="yellow"/>
              </w:rPr>
              <w:t>(bitte Folien ablegen)</w:t>
            </w:r>
          </w:p>
          <w:p>
            <w:pPr>
              <w:pStyle w:val="Liste1"/>
            </w:pPr>
            <w:r>
              <w:t xml:space="preserve">TIP </w:t>
            </w:r>
            <w:proofErr w:type="spellStart"/>
            <w:r>
              <w:t>Bangladesh</w:t>
            </w:r>
            <w:proofErr w:type="spellEnd"/>
            <w:r>
              <w:t xml:space="preserve"> </w:t>
            </w:r>
            <w:r>
              <w:rPr>
                <w:highlight w:val="yellow"/>
              </w:rPr>
              <w:t>(bitte Folien ablegen)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</w:rPr>
            </w:pPr>
            <w:r>
              <w:rPr>
                <w:rStyle w:val="1Zchn"/>
                <w:sz w:val="24"/>
              </w:rPr>
              <w:t>Update digitale Projekte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</w:pPr>
            <w:r>
              <w:t xml:space="preserve">  (nicht berichtet)</w:t>
            </w:r>
          </w:p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  <w:sz w:val="24"/>
              </w:rPr>
            </w:pPr>
            <w:r>
              <w:rPr>
                <w:rStyle w:val="1Zchn"/>
                <w:sz w:val="24"/>
              </w:rPr>
              <w:t>Daten aus der Gesundheitsberichterstattung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 xml:space="preserve">  (nicht berichtet)</w:t>
            </w:r>
          </w:p>
          <w:p>
            <w:pPr>
              <w:pStyle w:val="Listenabsatz"/>
              <w:spacing w:line="276" w:lineRule="auto"/>
              <w:rPr>
                <w:rStyle w:val="1Zchn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Aktuelle Risikobewertung</w:t>
            </w:r>
          </w:p>
          <w:p>
            <w:pPr>
              <w:pStyle w:val="Liste1"/>
            </w:pPr>
            <w:r>
              <w:t xml:space="preserve">Diskussion der Änderungsvorschläge zur Risikobewertung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Vorschlag zur Kürzung der Risikobewertung: </w:t>
            </w:r>
            <w:hyperlink r:id="rId22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Es wurde keine </w:t>
            </w:r>
            <w:proofErr w:type="spellStart"/>
            <w:r>
              <w:rPr>
                <w:lang w:val="de-DE"/>
              </w:rPr>
              <w:t>Abstimmunt</w:t>
            </w:r>
            <w:proofErr w:type="spellEnd"/>
            <w:r>
              <w:rPr>
                <w:lang w:val="de-DE"/>
              </w:rPr>
              <w:t xml:space="preserve"> zur </w:t>
            </w:r>
            <w:proofErr w:type="spellStart"/>
            <w:r>
              <w:rPr>
                <w:lang w:val="de-DE"/>
              </w:rPr>
              <w:t>Herunternahme</w:t>
            </w:r>
            <w:proofErr w:type="spellEnd"/>
            <w:r>
              <w:rPr>
                <w:lang w:val="de-DE"/>
              </w:rPr>
              <w:t xml:space="preserve"> der Risikobewertung zum 01.6. erzielt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Alternativvorschlag: Herabstufung und </w:t>
            </w:r>
            <w:proofErr w:type="spellStart"/>
            <w:r>
              <w:rPr>
                <w:lang w:val="de-DE"/>
              </w:rPr>
              <w:t>signifankte</w:t>
            </w:r>
            <w:proofErr w:type="spellEnd"/>
            <w:r>
              <w:rPr>
                <w:lang w:val="de-DE"/>
              </w:rPr>
              <w:t xml:space="preserve"> Kürzung der Risikobewertung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Vorschlag wurde zirkuliert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Starke Kürzung auf 1- 1,5 Seiten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Vorschlag ans BMG in Jour </w:t>
            </w:r>
            <w:proofErr w:type="spellStart"/>
            <w:r>
              <w:rPr>
                <w:lang w:val="de-DE"/>
              </w:rPr>
              <w:t>Fix</w:t>
            </w:r>
            <w:proofErr w:type="spellEnd"/>
            <w:r>
              <w:rPr>
                <w:lang w:val="de-DE"/>
              </w:rPr>
              <w:t xml:space="preserve">: Risikobewertung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Zustimmen durch alle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WHO hat PHEIC beendet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ECDC: Risiko für Allgemeinbevölkerung niedrig, für vulnerable Gruppen moderat bis hoch (Bewertung aus Januar 2023)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Abgestimmter Entwurf wird in Runde mit BMG geteilt</w:t>
            </w:r>
            <w:r>
              <w:rPr>
                <w:lang w:val="de-DE"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rPr>
                <w:sz w:val="24"/>
              </w:rP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(montags Vorbereitung, mittwochs Nachbereitung)</w:t>
            </w:r>
          </w:p>
          <w:p>
            <w:pPr>
              <w:pStyle w:val="Liste1"/>
            </w:pPr>
            <w:r>
              <w:t xml:space="preserve">  (nicht berichtet)</w:t>
            </w:r>
          </w:p>
          <w:p>
            <w:pPr>
              <w:pStyle w:val="1"/>
              <w:rPr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</w:pPr>
            <w:r>
              <w:t>Aktivitäten neu:</w:t>
            </w:r>
          </w:p>
          <w:p>
            <w:pPr>
              <w:pStyle w:val="Liste1"/>
            </w:pPr>
            <w:r>
              <w:t>xxx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 xml:space="preserve">Information zur Einstellung des Dashboards wird vorab mit </w:t>
            </w:r>
            <w:proofErr w:type="spellStart"/>
            <w:proofErr w:type="gramStart"/>
            <w:r>
              <w:t>Datenjournalisten:innen</w:t>
            </w:r>
            <w:proofErr w:type="spellEnd"/>
            <w:proofErr w:type="gramEnd"/>
            <w:r>
              <w:t xml:space="preserve"> geteilt</w:t>
            </w:r>
          </w:p>
          <w:p>
            <w:pPr>
              <w:pStyle w:val="Liste1"/>
            </w:pPr>
            <w:r>
              <w:t>Entwurf zur Kürzung der Internetseite zu COVID-19 wurde letzte Woche geteilt</w:t>
            </w:r>
          </w:p>
          <w:p>
            <w:pPr>
              <w:pStyle w:val="Liste1"/>
            </w:pPr>
            <w:r>
              <w:t>Entwurf wird mit allen Teilnehmenden der Lage-AG besprochen</w:t>
            </w:r>
          </w:p>
          <w:p>
            <w:pPr>
              <w:pStyle w:val="Liste3"/>
            </w:pPr>
            <w:r>
              <w:lastRenderedPageBreak/>
              <w:t>Steckbrief zu COVID-19 herunternehmen?</w:t>
            </w:r>
          </w:p>
          <w:p>
            <w:pPr>
              <w:pStyle w:val="Liste3"/>
            </w:pPr>
            <w:r>
              <w:t>Tendenz aus Lage-AG Steckbrief solange zu behalten, bis er durch Ratgeber ersetzt werden kann, allgemein nicht mehr darauf verweisen</w:t>
            </w:r>
          </w:p>
          <w:p>
            <w:pPr>
              <w:pStyle w:val="Liste3"/>
            </w:pPr>
            <w:r>
              <w:t>Besprechung weiterer Punkte zur Kürzung der COVID-19 Internetseite wird gesondert weiter diskutiert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n.A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Kürzung Wochenbericht (siehe oben)</w:t>
            </w:r>
          </w:p>
          <w:p>
            <w:pPr>
              <w:pStyle w:val="Liste1"/>
            </w:pPr>
            <w:r>
              <w:t>AG-I für Beendigung des Koordinierungsverfahrens</w:t>
            </w:r>
          </w:p>
          <w:p>
            <w:pPr>
              <w:pStyle w:val="Liste1"/>
            </w:pPr>
            <w:r>
              <w:t>Stand: 11 von 16 BL haben dem zugestimmt, andere BL werden das beim nächsten Treffen tun</w:t>
            </w:r>
          </w:p>
          <w:p>
            <w:pPr>
              <w:pStyle w:val="Liste1"/>
            </w:pPr>
            <w:r>
              <w:t xml:space="preserve">AG-I Sitzung nur noch </w:t>
            </w:r>
            <w:proofErr w:type="gramStart"/>
            <w:r>
              <w:t>1 mal</w:t>
            </w:r>
            <w:proofErr w:type="gramEnd"/>
            <w:r>
              <w:t xml:space="preserve"> im Monat</w:t>
            </w:r>
          </w:p>
          <w:p>
            <w:pPr>
              <w:pStyle w:val="Liste1"/>
            </w:pPr>
            <w:r>
              <w:t xml:space="preserve">Bei Beendigung des Koordinierungsverfahrens, Einstellung des Wochenberichtest 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Abt. 3/FG31</w:t>
            </w: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</w:rPr>
            </w:pPr>
            <w:r>
              <w:rPr>
                <w:rStyle w:val="1Zchn"/>
                <w:sz w:val="24"/>
              </w:rPr>
              <w:t>Transport und Grenzübergangsstellen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  <w:sz w:val="24"/>
                <w:szCs w:val="24"/>
              </w:rPr>
            </w:pPr>
            <w:r>
              <w:rPr>
                <w:rStyle w:val="1Zchn"/>
                <w:sz w:val="24"/>
              </w:rPr>
              <w:t>Information aus der Koordinierungsstelle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</w:pPr>
            <w:r>
              <w:t>Sperrung Räumlichkeiten Lagezentrum vom 22.06. - 27.06. aufgrund Neuau</w:t>
            </w:r>
            <w:r>
              <w:t>s</w:t>
            </w:r>
            <w:r>
              <w:t xml:space="preserve">stattung IT/Büromöbel </w:t>
            </w:r>
          </w:p>
          <w:p>
            <w:pPr>
              <w:pStyle w:val="Liste1"/>
            </w:pPr>
            <w:r>
              <w:t>Update AAR RKI internes Krisenmanagement vom 08.06.-09.06</w:t>
            </w:r>
          </w:p>
          <w:p>
            <w:pPr>
              <w:pStyle w:val="Liste3"/>
            </w:pPr>
            <w:r>
              <w:t>Bisher 38 Anmeldungen</w:t>
            </w:r>
          </w:p>
          <w:p>
            <w:pPr>
              <w:pStyle w:val="Liste3"/>
            </w:pPr>
            <w:r>
              <w:t>Alle Abteilungen gut vertreten</w:t>
            </w:r>
          </w:p>
          <w:p>
            <w:pPr>
              <w:pStyle w:val="Liste3"/>
            </w:pPr>
            <w:r>
              <w:t>4 Themen (Surveilla</w:t>
            </w:r>
            <w:bookmarkStart w:id="1" w:name="_GoBack"/>
            <w:bookmarkEnd w:id="1"/>
            <w:r>
              <w:t>nce, Diagnostik, Wissenschaftlicher Erkenntnisgewinn, Maßnahmen)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Wichtige Termine</w:t>
            </w:r>
          </w:p>
          <w:p>
            <w:pPr>
              <w:pStyle w:val="Liste1"/>
            </w:pPr>
            <w:r>
              <w:t>ID5864: Erlass Große Anfrage AfD</w:t>
            </w:r>
          </w:p>
          <w:p>
            <w:pPr>
              <w:pStyle w:val="Liste1"/>
            </w:pPr>
            <w:r>
              <w:t>Relativ umfangreich</w:t>
            </w:r>
          </w:p>
          <w:p>
            <w:pPr>
              <w:pStyle w:val="Liste1"/>
            </w:pPr>
            <w:r>
              <w:t>Beantwortung sollte trotz längere Bearbeitungszeit nicht aufgeschoben werden, lieber eher vorbereiten</w:t>
            </w:r>
          </w:p>
          <w:p>
            <w:pPr>
              <w:pStyle w:val="Liste1"/>
            </w:pPr>
            <w:r>
              <w:t>Koordinierungsstelle bereitet Inhalte, wo möglich vor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>400. Sitzung Lage-AG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Nächste Sitzungen am: 07.06.2023 und 21.06.2023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Am 5.7. wäre die 400. Sitzung der Lage-AG</w:t>
            </w:r>
          </w:p>
          <w:p>
            <w:pPr>
              <w:pStyle w:val="Liste1"/>
              <w:numPr>
                <w:ilvl w:val="0"/>
                <w:numId w:val="8"/>
              </w:numPr>
              <w:rPr>
                <w:b/>
              </w:rPr>
            </w:pPr>
            <w:r>
              <w:t xml:space="preserve">Vorschlag: Präsenztreffen der Lage AG am 05.07; Sitzungen am 07.06. und 21. </w:t>
            </w:r>
            <w:proofErr w:type="gramStart"/>
            <w:r>
              <w:t>06  als</w:t>
            </w:r>
            <w:proofErr w:type="gramEnd"/>
            <w:r>
              <w:t xml:space="preserve"> Vorbereitung Lage-AG koordinierend zurückzuziehen, danach Anlass zur Einstellung nehmen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Andere Themen</w:t>
            </w:r>
          </w:p>
          <w:p>
            <w:pPr>
              <w:pStyle w:val="Liste1"/>
            </w:pPr>
            <w:r>
              <w:t>Nächste Sitzung: Mittwoch, 07.06.2023,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12:59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8" o:spid="_x0000_s69634" type="#_x0000_t136" style="position:absolute;margin-left:0;margin-top:0;width:468.1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9" o:spid="_x0000_s69635" type="#_x0000_t136" style="position:absolute;margin-left:0;margin-top:0;width:468.1pt;height:11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7" o:spid="_x0000_s69633" type="#_x0000_t136" style="position:absolute;margin-left:0;margin-top:0;width:468.1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27046"/>
    <w:multiLevelType w:val="hybridMultilevel"/>
    <w:tmpl w:val="964E9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2777C"/>
    <w:multiLevelType w:val="hybridMultilevel"/>
    <w:tmpl w:val="30189224"/>
    <w:lvl w:ilvl="0" w:tplc="DBB2C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68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2A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0B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28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E8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86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8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EA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5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9636"/>
    <o:shapelayout v:ext="edit">
      <o:idmap v:ext="edit" data="68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6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105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88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51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3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syndrom-ARE-SARI-COVID_bis_KW20_2023_f&#252;r-Krisenstab.pptx" TargetMode="External"/><Relationship Id="rId3" Type="http://schemas.openxmlformats.org/officeDocument/2006/relationships/styles" Target="styles.xml"/><Relationship Id="rId21" Type="http://schemas.openxmlformats.org/officeDocument/2006/relationships/hyperlink" Target="../2023-04-26_Lage-AG/Wochenbericht_RKI_2023-05-27_korr-K&#252;rzungsvorschlag_FG36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2023-05_24_LageAG-VOC.ppt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2023-05-24_Testzahlen.pptx" TargetMode="External"/><Relationship Id="rId20" Type="http://schemas.openxmlformats.org/officeDocument/2006/relationships/hyperlink" Target="2023-05-10_Intensivregister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LageNational_2023-05-24.pptx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syndrom-ARE-SARI-COVID_bis_KW20_2023_f&#252;r-Krisenstab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COVID-19_internat.%20Lage_2023-05-24.pptx" TargetMode="External"/><Relationship Id="rId22" Type="http://schemas.openxmlformats.org/officeDocument/2006/relationships/hyperlink" Target="RKI-Risikobewertung%20zu%20COVID-Entwurf_&#220;berarbeitung-2023-05-19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4866B-06CF-43CF-8EDE-EA56AF77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1226</Words>
  <Characters>7724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Püschel, Nadine</cp:lastModifiedBy>
  <cp:revision>10</cp:revision>
  <cp:lastPrinted>2020-05-06T16:43:00Z</cp:lastPrinted>
  <dcterms:created xsi:type="dcterms:W3CDTF">2023-05-25T07:45:00Z</dcterms:created>
  <dcterms:modified xsi:type="dcterms:W3CDTF">2023-05-25T15:18:00Z</dcterms:modified>
</cp:coreProperties>
</file>