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34" w:name="X25ac3d0a68410329536cc23fecaf0d2b4568836"/>
    <w:p>
      <w:pPr>
        <w:pStyle w:val="Heading1"/>
        <w:ind w:firstLine="0"/>
      </w:pPr>
      <w:r>
        <w:rPr>
          <w:rFonts w:ascii="Times New Roman" w:hAnsi="Times New Roman" w:eastAsia="Times New Roman"/>
          <w:sz w:val="28"/>
        </w:rPr>
        <w:t xml:space="preserve">Современные методы мониторинга центральной гемодинамики и возможности прекардиальной импедансной кардиографии</w:t>
      </w:r>
    </w:p>
    <w:bookmarkStart w:id="9" w:name="аннотация"/>
    <w:p>
      <w:pPr>
        <w:pStyle w:val="Heading2"/>
        <w:ind w:firstLine="0"/>
      </w:pPr>
      <w:r>
        <w:rPr>
          <w:rFonts w:ascii="Times New Roman" w:hAnsi="Times New Roman" w:eastAsia="Times New Roman"/>
          <w:sz w:val="28"/>
        </w:rPr>
        <w:t xml:space="preserve">Аннотация</w:t>
      </w:r>
    </w:p>
    <w:p>
      <w:pPr>
        <w:pStyle w:val="FirstParagraph"/>
      </w:pPr>
      <w:r>
        <w:rPr>
          <w:rFonts w:ascii="Times New Roman" w:hAnsi="Times New Roman" w:eastAsia="Times New Roman"/>
          <w:sz w:val="28"/>
        </w:rPr>
        <w:t xml:space="preserve">Оценка сердечного выброса и ударного объема необходима, если выбор лечения зависит от характера нарушения кровообращения и реакции пациента на терапию. Цель обзора — сопоставить методы гемодинамического мониторинга, определить возможности и ограничения трансторакальной импедансной кардиографии (ИКГ), а также сформулировать задачи, которые может решать многоканальное прекардиальное электроимпедансное картирование.</w:t>
      </w:r>
    </w:p>
    <w:p>
      <w:pPr>
        <w:pStyle w:val="BodyText"/>
      </w:pPr>
      <w:r>
        <w:rPr>
          <w:rFonts w:ascii="Times New Roman" w:hAnsi="Times New Roman" w:eastAsia="Times New Roman"/>
          <w:sz w:val="28"/>
        </w:rPr>
        <w:t xml:space="preserve">В обзор вошли 59 уникальных публикаций 1966–2025 гг. Для 55 публикаций были доступны полные тексты, для четырех — только библиографические сведения и аннотации. Результаты сравнительных исследований не позволяют считать ИКГ универсальной заменой термодилюции или эхокардиографии при измерении абсолютного сердечного выброса. Даже при небольшом смещении средняя процентная ошибка во многих исследованиях превышала ориентир 30 %, применимость которого зависит от условий сравнения. Результаты различались между клиническими группами, устройствами, расчетными алгоритмами и референтными методами. В отдельных условиях направление изменений показателей определялось точнее, чем их абсолютные значения. Ранние способы расчета фракции выброса по ИКГ не обеспечили приемлемого согласия с радионуклидной вентрикулографией. Временные показатели систолы могут служить лишь косвенными признаками при предварительной оценке или наблюдении в динамике.</w:t>
      </w:r>
    </w:p>
    <w:p>
      <w:pPr>
        <w:pStyle w:val="BodyText"/>
      </w:pPr>
      <w:r>
        <w:rPr>
          <w:rFonts w:ascii="Times New Roman" w:hAnsi="Times New Roman" w:eastAsia="Times New Roman"/>
          <w:sz w:val="28"/>
        </w:rPr>
        <w:t xml:space="preserve">Большинство рассмотренных систем регистрирует один интегральный трансторакальный сигнал. В предоставленных публикациях не выявлено прямой валидации многоканального прекардиального картирования для раздельной оценки вкладов камер сердца. Поэтому при разработке биотехнической системы необходимо проверить воспроизводимость пространственно-временных характеристик прекардиального импедансного сигнала и их связь с показателями центральной гемодинамики. Возможность замены референтных методов нельзя принимать как исходное допущение.</w:t>
      </w:r>
    </w:p>
    <w:p>
      <w:pPr>
        <w:pStyle w:val="BodyText"/>
      </w:pPr>
      <w:r>
        <w:rPr>
          <w:rFonts w:ascii="Times New Roman" w:hAnsi="Times New Roman" w:eastAsia="Times New Roman"/>
          <w:b/>
          <w:bCs/>
          <w:sz w:val="28"/>
        </w:rPr>
        <w:t xml:space="preserve">Ключевые слова:</w:t>
      </w:r>
      <w:r>
        <w:rPr>
          <w:rFonts w:ascii="Times New Roman" w:hAnsi="Times New Roman" w:eastAsia="Times New Roman"/>
          <w:sz w:val="28"/>
        </w:rPr>
        <w:t xml:space="preserve"> </w:t>
      </w:r>
      <w:r>
        <w:rPr>
          <w:rFonts w:ascii="Times New Roman" w:hAnsi="Times New Roman" w:eastAsia="Times New Roman"/>
          <w:sz w:val="28"/>
        </w:rPr>
        <w:t xml:space="preserve">гемодинамический мониторинг; сердечный выброс; ударный объем; импедансная кардиография; электрическая кардиометрия; прекардиальное картирование; фракция выброса; согласие методов.</w:t>
      </w:r>
    </w:p>
    <w:bookmarkEnd w:id="9"/>
    <w:bookmarkStart w:id="10" w:name="введение"/>
    <w:p>
      <w:pPr>
        <w:pStyle w:val="Heading2"/>
        <w:ind w:firstLine="0"/>
      </w:pPr>
      <w:r>
        <w:rPr>
          <w:rFonts w:ascii="Times New Roman" w:hAnsi="Times New Roman" w:eastAsia="Times New Roman"/>
          <w:sz w:val="28"/>
        </w:rPr>
        <w:t xml:space="preserve">Введение</w:t>
      </w:r>
    </w:p>
    <w:p>
      <w:pPr>
        <w:pStyle w:val="FirstParagraph"/>
      </w:pPr>
      <w:r>
        <w:rPr>
          <w:rFonts w:ascii="Times New Roman" w:hAnsi="Times New Roman" w:eastAsia="Times New Roman"/>
          <w:sz w:val="28"/>
        </w:rPr>
        <w:t xml:space="preserve">Сердечно-сосудистые заболевания остаются одной из основных причин смерти во всем мире. Согласно оценкам проекта Global Burden of Disease, в 2022 г. возраст-стандартизованный показатель смертности от сердечно-сосудистых заболеваний варьировал по странам и территориям от 73,6 до 432,3 на 100 тыс. населения (Mensah и соавт., 2023). Число пациентов с сердечной недостаточностью в мире превышает 64 млн, однако полнота эпидемиологических данных различается между регионами (Savarese и соавт., 2022). Эти данные характеризуют масштаб медицинской проблемы, но сами по себе не определяют выбор метода гемодинамического мониторинга.</w:t>
      </w:r>
    </w:p>
    <w:p>
      <w:pPr>
        <w:pStyle w:val="BodyText"/>
      </w:pPr>
      <w:r>
        <w:rPr>
          <w:rFonts w:ascii="Times New Roman" w:hAnsi="Times New Roman" w:eastAsia="Times New Roman"/>
          <w:sz w:val="28"/>
        </w:rPr>
        <w:t xml:space="preserve">Фракция выброса левого желудочка (left ventricular ejection fraction, LVEF) используется для классификации сердечной недостаточности. В рекомендациях Европейского общества кардиологов (European Society of Cardiology, ESC) выделены сердечная недостаточность со сниженной LVEF (≤ 40 %), умеренно сниженной LVEF (41–49 %) и сохраненной LVEF (≥ 50 %). В последнем случае для установления диагноза необходимы дополнительные объективные признаки структурного или функционального поражения сердца (McDonagh и соавт., 2021). Следовательно, LVEF не дает полной характеристики центральной гемодинамики, а сердечный выброс нельзя определить только по фракции выброса.</w:t>
      </w:r>
    </w:p>
    <w:p>
      <w:pPr>
        <w:pStyle w:val="BodyText"/>
      </w:pPr>
      <w:r>
        <w:rPr>
          <w:rFonts w:ascii="Times New Roman" w:hAnsi="Times New Roman" w:eastAsia="Times New Roman"/>
          <w:sz w:val="28"/>
        </w:rPr>
        <w:t xml:space="preserve">Сердечный выброс (cardiac output, CO) равен произведению ударного объема (stroke volume, SV) и частоты сердечных сокращений. Эти показатели особенно важны при циркуляторном шоке. Согласно рекомендациям Европейского общества интенсивной терапии (European Society of Intensive Care Medicine, ESICM) 2025 г., CO и/или SV следует контролировать у пациентов, которые не отвечают на начальную терапию; для определения типа шока методом визуализации первой линии служит эхокардиография (Monnet и соавт., 2025). Рутинное применение катетера легочной артерии не рекомендуется, а менее инвазивные системы следует использовать только после валидации в соответствующей клинической группе (Cecconi и соавт., 2014).</w:t>
      </w:r>
    </w:p>
    <w:p>
      <w:pPr>
        <w:pStyle w:val="BodyText"/>
      </w:pPr>
      <w:r>
        <w:rPr>
          <w:rFonts w:ascii="Times New Roman" w:hAnsi="Times New Roman" w:eastAsia="Times New Roman"/>
          <w:sz w:val="28"/>
        </w:rPr>
        <w:t xml:space="preserve">Методы измерения CO различаются по инвазивности, возможности непрерывной регистрации и набору определяемых показателей. Термодилюция и индикаторное разведение требуют сосудистого доступа. Эхокардиография дает сведения об анатомии и функции сердца, но обычно применяется для отдельных измерений, а результат зависит от качества визуализации и действий оператора. Пульс-контурный анализ и неинвазивная регистрация артериальной волны позволяют оценивать изменения во времени, однако точность зависит от сосудистого тонуса и расчетного алгоритма. Поэтому при выборе системы необходимо учитывать клиническую задачу, состояние пациента, инвазивность метода и точность, подтвержденную в сходных условиях (Cecconi и соавт., 2014; Bein и Renner, 2019; de Keijzer и Scheeren, 2021; Monnet и соавт., 2025).</w:t>
      </w:r>
    </w:p>
    <w:p>
      <w:pPr>
        <w:pStyle w:val="BodyText"/>
      </w:pPr>
      <w:r>
        <w:rPr>
          <w:rFonts w:ascii="Times New Roman" w:hAnsi="Times New Roman" w:eastAsia="Times New Roman"/>
          <w:sz w:val="28"/>
        </w:rPr>
        <w:t xml:space="preserve">Импедансная кардиография и электрическая кардиометрия обеспечивают неинвазивную повторную регистрацию сигнала, синхронизированного с сердечным циклом. Однако ударный объем в этих методах не измеряется непосредственно: его рассчитывают по изменениям трансторакального импеданса с использованием геометрической и физиологической модели. В метаанализе электрической кардиометрии средняя процентная ошибка составляла 48 % у взрослых и 42 % у детей, а показатели межисследовательской неоднородности —</w:t>
      </w:r>
      <w:r>
        <w:rPr>
          <w:rFonts w:ascii="Times New Roman" w:hAnsi="Times New Roman" w:eastAsia="Times New Roman"/>
          <w:sz w:val="28"/>
        </w:rPr>
        <w:t xml:space="preserve"> </w:t>
      </w:r>
      <w:r>
        <w:rPr>
          <w:rStyle w:val="VerbatimChar"/>
          <w:rFonts w:ascii="Times New Roman" w:hAnsi="Times New Roman" w:eastAsia="Times New Roman"/>
          <w:sz w:val="28"/>
        </w:rPr>
        <w:t xml:space="preserve">I² = 93 %</w:t>
      </w:r>
      <w:r>
        <w:rPr>
          <w:rFonts w:ascii="Times New Roman" w:hAnsi="Times New Roman" w:eastAsia="Times New Roman"/>
          <w:sz w:val="28"/>
        </w:rPr>
        <w:t xml:space="preserve"> </w:t>
      </w:r>
      <w:r>
        <w:rPr>
          <w:rFonts w:ascii="Times New Roman" w:hAnsi="Times New Roman" w:eastAsia="Times New Roman"/>
          <w:sz w:val="28"/>
        </w:rPr>
        <w:t xml:space="preserve">и</w:t>
      </w:r>
      <w:r>
        <w:rPr>
          <w:rFonts w:ascii="Times New Roman" w:hAnsi="Times New Roman" w:eastAsia="Times New Roman"/>
          <w:sz w:val="28"/>
        </w:rPr>
        <w:t xml:space="preserve"> </w:t>
      </w:r>
      <w:r>
        <w:rPr>
          <w:rStyle w:val="VerbatimChar"/>
          <w:rFonts w:ascii="Times New Roman" w:hAnsi="Times New Roman" w:eastAsia="Times New Roman"/>
          <w:sz w:val="28"/>
        </w:rPr>
        <w:t xml:space="preserve">I² = 86 %</w:t>
      </w:r>
      <w:r>
        <w:rPr>
          <w:rFonts w:ascii="Times New Roman" w:hAnsi="Times New Roman" w:eastAsia="Times New Roman"/>
          <w:sz w:val="28"/>
        </w:rPr>
        <w:t xml:space="preserve"> </w:t>
      </w:r>
      <w:r>
        <w:rPr>
          <w:rFonts w:ascii="Times New Roman" w:hAnsi="Times New Roman" w:eastAsia="Times New Roman"/>
          <w:sz w:val="28"/>
        </w:rPr>
        <w:t xml:space="preserve">соответственно (Sanders и соавт., 2019). Эти результаты не подтверждают взаимозаменяемость электрической кардиометрии с референтными методами при определении абсолютного CO во всех клинических группах, но не исключают ее применения в отдельных условиях или для наблюдения за динамикой показателей.</w:t>
      </w:r>
    </w:p>
    <w:p>
      <w:pPr>
        <w:pStyle w:val="BodyText"/>
      </w:pPr>
      <w:r>
        <w:rPr>
          <w:rFonts w:ascii="Times New Roman" w:hAnsi="Times New Roman" w:eastAsia="Times New Roman"/>
          <w:sz w:val="28"/>
        </w:rPr>
        <w:t xml:space="preserve">В большинстве рассмотренных работ анализируется интегральный трансторакальный сигнал, полученный по одному измерительному каналу. По такому сигналу нельзя непосредственно определить вклад отдельных анатомических областей и физиологических процессов. Многоканальное прекардиальное картирование позволяет регистрировать пространственное распределение изменений импеданса, однако диагностическая ценность этой информации должна быть подтверждена оценкой воспроизводимости и сопоставлением с независимыми методами.</w:t>
      </w:r>
    </w:p>
    <w:p>
      <w:pPr>
        <w:pStyle w:val="BodyText"/>
      </w:pPr>
      <w:r>
        <w:rPr>
          <w:rFonts w:ascii="Times New Roman" w:hAnsi="Times New Roman" w:eastAsia="Times New Roman"/>
          <w:sz w:val="28"/>
        </w:rPr>
        <w:t xml:space="preserve">Цель настоящего обзора — сопоставить методы мониторинга центральной гемодинамики, проанализировать физические основы и результаты клинической валидации ИКГ, а также определить вопросы, существенные для разработки системы прекардиального электроимпедансного картирования. Рассмотрены клиническая роль CO, SV и LVEF; инвазивные и неинвазивные способы их оценки; зависимость результатов ИКГ от расчетной модели и условий регистрации; согласие с референтными методами у взрослых и детей; возможности и ограничения оценки систолической функции левого желудочка.</w:t>
      </w:r>
    </w:p>
    <w:bookmarkEnd w:id="10"/>
    <w:bookmarkStart w:id="11" w:name="материалы-и-методика-обзора"/>
    <w:p>
      <w:pPr>
        <w:pStyle w:val="Heading2"/>
        <w:ind w:firstLine="0"/>
      </w:pPr>
      <w:r>
        <w:rPr>
          <w:rFonts w:ascii="Times New Roman" w:hAnsi="Times New Roman" w:eastAsia="Times New Roman"/>
          <w:sz w:val="28"/>
        </w:rPr>
        <w:t xml:space="preserve">1. Материалы и методика обзора</w:t>
      </w:r>
    </w:p>
    <w:p>
      <w:pPr>
        <w:pStyle w:val="FirstParagraph"/>
      </w:pPr>
      <w:r>
        <w:rPr>
          <w:rFonts w:ascii="Times New Roman" w:hAnsi="Times New Roman" w:eastAsia="Times New Roman"/>
          <w:sz w:val="28"/>
        </w:rPr>
        <w:t xml:space="preserve">Выполнен тематический обзор заданного массива публикаций, сформированного по состоянию на 22 августа 2026 г. После удаления библиографического дубля в анализ вошли 59 источников 1966–2025 гг. Для 55 публикаций были доступны полные тексты в формате PDF. Четыре источника — Fuller (1992), Newman (1999), Sodolski и соавт. (2007), Savarese и соавт. (2022) — представлены библиографическими записями и аннотациями; сведения из них использовались только в пределах доступного текста.</w:t>
      </w:r>
    </w:p>
    <w:p>
      <w:pPr>
        <w:pStyle w:val="BodyText"/>
      </w:pPr>
      <w:r>
        <w:rPr>
          <w:rFonts w:ascii="Times New Roman" w:hAnsi="Times New Roman" w:eastAsia="Times New Roman"/>
          <w:sz w:val="28"/>
        </w:rPr>
        <w:t xml:space="preserve">Заранее зарегистрированная стратегия поиска и отбора публикаций отсутствовала. Поэтому работа не является систематическим обзором, не содержит оценки публикационного смещения и не позволяет судить о полноте всей доступной литературы. Если в обзоре не представлены публикации по определенному вопросу, это означает отсутствие соответствующих данных только в заданном массиве источников.</w:t>
      </w:r>
    </w:p>
    <w:p>
      <w:pPr>
        <w:pStyle w:val="BodyText"/>
      </w:pPr>
      <w:r>
        <w:rPr>
          <w:rFonts w:ascii="Times New Roman" w:hAnsi="Times New Roman" w:eastAsia="Times New Roman"/>
          <w:sz w:val="28"/>
        </w:rPr>
        <w:t xml:space="preserve">Для всех источников составлены учетные карточки. Из публикаций, непосредственно использованных при формулировании обобщающих выводов, извлечены сведения о дизайне, выборке, методе сравнения, основных результатах и ограничениях. Сопоставимые исследования объединены в общую матрицу. Материал сгруппирован по клиническим задачам, измерительным принципам, возрастным группам, точности абсолютных значений и способности отражать их изменения. Для каждого количественного тезиса в отдельном реестре указаны источник и страница.</w:t>
      </w:r>
    </w:p>
    <w:bookmarkEnd w:id="11"/>
    <w:bookmarkStart w:id="12" w:name="Xeb7aa81d62c9c7b99130548e3dc40bec09492a0"/>
    <w:p>
      <w:pPr>
        <w:pStyle w:val="Heading2"/>
        <w:ind w:firstLine="0"/>
      </w:pPr>
      <w:r>
        <w:rPr>
          <w:rFonts w:ascii="Times New Roman" w:hAnsi="Times New Roman" w:eastAsia="Times New Roman"/>
          <w:sz w:val="28"/>
        </w:rPr>
        <w:t xml:space="preserve">2. Современные методы гемодинамического мониторинга</w:t>
      </w:r>
    </w:p>
    <w:p>
      <w:pPr>
        <w:pStyle w:val="FirstParagraph"/>
      </w:pPr>
      <w:r>
        <w:rPr>
          <w:rFonts w:ascii="Times New Roman" w:hAnsi="Times New Roman" w:eastAsia="Times New Roman"/>
          <w:sz w:val="28"/>
        </w:rPr>
        <w:t xml:space="preserve">Методы гемодинамического мониторинга сопоставлены по способу получения сигнала, инвазивности, возможности непрерывной регистрации и области применения. Метод, пригодный для оценки динамики у стабильного пациента, может оказаться недостаточно точным при резком изменении сосудистого тонуса или применении механической поддержки кровообращения.</w:t>
      </w:r>
    </w:p>
    <w:tbl>
      <w:tblPr>
        <w:tblStyle w:val="Table"/>
        <w:tblW w:type="pct" w:w="5000"/>
        <w:tblLayout w:type="autofit"/>
        <w:tblLook w:firstRow="1" w:lastRow="0" w:firstColumn="0" w:lastColumn="0" w:noHBand="0" w:noVBand="0" w:val="0020"/>
      </w:tblPr>
      <w:tblGrid>
        <w:gridCol w:w="1980"/>
        <w:gridCol w:w="1980"/>
        <w:gridCol w:w="1980"/>
        <w:gridCol w:w="1980"/>
      </w:tblGrid>
      <w:tr>
        <w:trPr>
          <w:tblHeader w:val="on"/>
        </w:trPr>
        <w:tc>
          <w:tcPr/>
          <w:p>
            <w:pPr>
              <w:pStyle w:val="Compact"/>
              <w:spacing w:line="240" w:lineRule="auto" w:after="40"/>
              <w:ind w:firstLine="0"/>
            </w:pPr>
            <w:r>
              <w:rPr>
                <w:rFonts w:ascii="Times New Roman" w:hAnsi="Times New Roman" w:eastAsia="Times New Roman"/>
                <w:b/>
                <w:sz w:val="20"/>
              </w:rPr>
              <w:t xml:space="preserve">Группа методов</w:t>
            </w:r>
          </w:p>
        </w:tc>
        <w:tc>
          <w:tcPr/>
          <w:p>
            <w:pPr>
              <w:pStyle w:val="Compact"/>
              <w:spacing w:line="240" w:lineRule="auto" w:after="40"/>
              <w:ind w:firstLine="0"/>
            </w:pPr>
            <w:r>
              <w:rPr>
                <w:rFonts w:ascii="Times New Roman" w:hAnsi="Times New Roman" w:eastAsia="Times New Roman"/>
                <w:b/>
                <w:sz w:val="20"/>
              </w:rPr>
              <w:t xml:space="preserve">Измерительный принцип</w:t>
            </w:r>
          </w:p>
        </w:tc>
        <w:tc>
          <w:tcPr/>
          <w:p>
            <w:pPr>
              <w:pStyle w:val="Compact"/>
              <w:spacing w:line="240" w:lineRule="auto" w:after="40"/>
              <w:ind w:firstLine="0"/>
            </w:pPr>
            <w:r>
              <w:rPr>
                <w:rFonts w:ascii="Times New Roman" w:hAnsi="Times New Roman" w:eastAsia="Times New Roman"/>
                <w:b/>
                <w:sz w:val="20"/>
              </w:rPr>
              <w:t xml:space="preserve">Возможности</w:t>
            </w:r>
          </w:p>
        </w:tc>
        <w:tc>
          <w:tcPr/>
          <w:p>
            <w:pPr>
              <w:pStyle w:val="Compact"/>
              <w:spacing w:line="240" w:lineRule="auto" w:after="40"/>
              <w:ind w:firstLine="0"/>
            </w:pPr>
            <w:r>
              <w:rPr>
                <w:rFonts w:ascii="Times New Roman" w:hAnsi="Times New Roman" w:eastAsia="Times New Roman"/>
                <w:b/>
                <w:sz w:val="20"/>
              </w:rPr>
              <w:t xml:space="preserve">Ограничения</w:t>
            </w:r>
          </w:p>
        </w:tc>
      </w:tr>
      <w:tr>
        <w:tc>
          <w:tcPr/>
          <w:p>
            <w:pPr>
              <w:pStyle w:val="Compact"/>
              <w:spacing w:line="240" w:lineRule="auto" w:after="40"/>
              <w:ind w:firstLine="0"/>
            </w:pPr>
            <w:r>
              <w:rPr>
                <w:rFonts w:ascii="Times New Roman" w:hAnsi="Times New Roman" w:eastAsia="Times New Roman"/>
                <w:sz w:val="20"/>
              </w:rPr>
              <w:t xml:space="preserve">Термодилюция через катетер легочной артерии</w:t>
            </w:r>
          </w:p>
        </w:tc>
        <w:tc>
          <w:tcPr/>
          <w:p>
            <w:pPr>
              <w:pStyle w:val="Compact"/>
              <w:spacing w:line="240" w:lineRule="auto" w:after="40"/>
              <w:ind w:firstLine="0"/>
            </w:pPr>
            <w:r>
              <w:rPr>
                <w:rFonts w:ascii="Times New Roman" w:hAnsi="Times New Roman" w:eastAsia="Times New Roman"/>
                <w:sz w:val="20"/>
              </w:rPr>
              <w:t xml:space="preserve">Разведение температурного индикатора в правых отделах сердца и легочной артерии</w:t>
            </w:r>
          </w:p>
        </w:tc>
        <w:tc>
          <w:tcPr/>
          <w:p>
            <w:pPr>
              <w:pStyle w:val="Compact"/>
              <w:spacing w:line="240" w:lineRule="auto" w:after="40"/>
              <w:ind w:firstLine="0"/>
            </w:pPr>
            <w:r>
              <w:rPr>
                <w:rFonts w:ascii="Times New Roman" w:hAnsi="Times New Roman" w:eastAsia="Times New Roman"/>
                <w:sz w:val="20"/>
              </w:rPr>
              <w:t xml:space="preserve">Получение расширенного набора гемодинамических показателей; многолетний опыт применения</w:t>
            </w:r>
          </w:p>
        </w:tc>
        <w:tc>
          <w:tcPr/>
          <w:p>
            <w:pPr>
              <w:pStyle w:val="Compact"/>
              <w:spacing w:line="240" w:lineRule="auto" w:after="40"/>
              <w:ind w:firstLine="0"/>
            </w:pPr>
            <w:r>
              <w:rPr>
                <w:rFonts w:ascii="Times New Roman" w:hAnsi="Times New Roman" w:eastAsia="Times New Roman"/>
                <w:sz w:val="20"/>
              </w:rPr>
              <w:t xml:space="preserve">Инвазивность; погрешность измерения; метод не рекомендуется для рутинного применения у всех пациентов</w:t>
            </w:r>
          </w:p>
        </w:tc>
      </w:tr>
      <w:tr>
        <w:tc>
          <w:tcPr/>
          <w:p>
            <w:pPr>
              <w:pStyle w:val="Compact"/>
              <w:spacing w:line="240" w:lineRule="auto" w:after="40"/>
              <w:ind w:firstLine="0"/>
            </w:pPr>
            <w:r>
              <w:rPr>
                <w:rFonts w:ascii="Times New Roman" w:hAnsi="Times New Roman" w:eastAsia="Times New Roman"/>
                <w:sz w:val="20"/>
              </w:rPr>
              <w:t xml:space="preserve">Транспульмональная термодилюция и индикаторное разведение</w:t>
            </w:r>
          </w:p>
        </w:tc>
        <w:tc>
          <w:tcPr/>
          <w:p>
            <w:pPr>
              <w:pStyle w:val="Compact"/>
              <w:spacing w:line="240" w:lineRule="auto" w:after="40"/>
              <w:ind w:firstLine="0"/>
            </w:pPr>
            <w:r>
              <w:rPr>
                <w:rFonts w:ascii="Times New Roman" w:hAnsi="Times New Roman" w:eastAsia="Times New Roman"/>
                <w:sz w:val="20"/>
              </w:rPr>
              <w:t xml:space="preserve">Разведение индикатора между центральным венозным и артериальным доступом</w:t>
            </w:r>
          </w:p>
        </w:tc>
        <w:tc>
          <w:tcPr/>
          <w:p>
            <w:pPr>
              <w:pStyle w:val="Compact"/>
              <w:spacing w:line="240" w:lineRule="auto" w:after="40"/>
              <w:ind w:firstLine="0"/>
            </w:pPr>
            <w:r>
              <w:rPr>
                <w:rFonts w:ascii="Times New Roman" w:hAnsi="Times New Roman" w:eastAsia="Times New Roman"/>
                <w:sz w:val="20"/>
              </w:rPr>
              <w:t xml:space="preserve">Калибровка пульс-контурного анализа и получение дополнительных объемных показателей</w:t>
            </w:r>
          </w:p>
        </w:tc>
        <w:tc>
          <w:tcPr/>
          <w:p>
            <w:pPr>
              <w:pStyle w:val="Compact"/>
              <w:spacing w:line="240" w:lineRule="auto" w:after="40"/>
              <w:ind w:firstLine="0"/>
            </w:pPr>
            <w:r>
              <w:rPr>
                <w:rFonts w:ascii="Times New Roman" w:hAnsi="Times New Roman" w:eastAsia="Times New Roman"/>
                <w:sz w:val="20"/>
              </w:rPr>
              <w:t xml:space="preserve">Необходимость сосудистого доступа и повторной калибровки при изменении состояния</w:t>
            </w:r>
          </w:p>
        </w:tc>
      </w:tr>
      <w:tr>
        <w:tc>
          <w:tcPr/>
          <w:p>
            <w:pPr>
              <w:pStyle w:val="Compact"/>
              <w:spacing w:line="240" w:lineRule="auto" w:after="40"/>
              <w:ind w:firstLine="0"/>
            </w:pPr>
            <w:r>
              <w:rPr>
                <w:rFonts w:ascii="Times New Roman" w:hAnsi="Times New Roman" w:eastAsia="Times New Roman"/>
                <w:sz w:val="20"/>
              </w:rPr>
              <w:t xml:space="preserve">Анализ формы артериальной волны</w:t>
            </w:r>
          </w:p>
        </w:tc>
        <w:tc>
          <w:tcPr/>
          <w:p>
            <w:pPr>
              <w:pStyle w:val="Compact"/>
              <w:spacing w:line="240" w:lineRule="auto" w:after="40"/>
              <w:ind w:firstLine="0"/>
            </w:pPr>
            <w:r>
              <w:rPr>
                <w:rFonts w:ascii="Times New Roman" w:hAnsi="Times New Roman" w:eastAsia="Times New Roman"/>
                <w:sz w:val="20"/>
              </w:rPr>
              <w:t xml:space="preserve">Расчет SV/CO по контуру пульса, с внешней калибровкой или без нее</w:t>
            </w:r>
          </w:p>
        </w:tc>
        <w:tc>
          <w:tcPr/>
          <w:p>
            <w:pPr>
              <w:pStyle w:val="Compact"/>
              <w:spacing w:line="240" w:lineRule="auto" w:after="40"/>
              <w:ind w:firstLine="0"/>
            </w:pPr>
            <w:r>
              <w:rPr>
                <w:rFonts w:ascii="Times New Roman" w:hAnsi="Times New Roman" w:eastAsia="Times New Roman"/>
                <w:sz w:val="20"/>
              </w:rPr>
              <w:t xml:space="preserve">Возможность непрерывного мониторинга и оценки быстрых изменений</w:t>
            </w:r>
          </w:p>
        </w:tc>
        <w:tc>
          <w:tcPr/>
          <w:p>
            <w:pPr>
              <w:pStyle w:val="Compact"/>
              <w:spacing w:line="240" w:lineRule="auto" w:after="40"/>
              <w:ind w:firstLine="0"/>
            </w:pPr>
            <w:r>
              <w:rPr>
                <w:rFonts w:ascii="Times New Roman" w:hAnsi="Times New Roman" w:eastAsia="Times New Roman"/>
                <w:sz w:val="20"/>
              </w:rPr>
              <w:t xml:space="preserve">Зависимость от сосудистого тонуса, качества артериальной кривой и алгоритма</w:t>
            </w:r>
          </w:p>
        </w:tc>
      </w:tr>
      <w:tr>
        <w:tc>
          <w:tcPr/>
          <w:p>
            <w:pPr>
              <w:pStyle w:val="Compact"/>
              <w:spacing w:line="240" w:lineRule="auto" w:after="40"/>
              <w:ind w:firstLine="0"/>
            </w:pPr>
            <w:r>
              <w:rPr>
                <w:rFonts w:ascii="Times New Roman" w:hAnsi="Times New Roman" w:eastAsia="Times New Roman"/>
                <w:sz w:val="20"/>
              </w:rPr>
              <w:t xml:space="preserve">Эхокардиография и допплеровские методы</w:t>
            </w:r>
          </w:p>
        </w:tc>
        <w:tc>
          <w:tcPr/>
          <w:p>
            <w:pPr>
              <w:pStyle w:val="Compact"/>
              <w:spacing w:line="240" w:lineRule="auto" w:after="40"/>
              <w:ind w:firstLine="0"/>
            </w:pPr>
            <w:r>
              <w:rPr>
                <w:rFonts w:ascii="Times New Roman" w:hAnsi="Times New Roman" w:eastAsia="Times New Roman"/>
                <w:sz w:val="20"/>
              </w:rPr>
              <w:t xml:space="preserve">Визуализация камер сердца и расчет потока по площади сечения и интегралу скорости</w:t>
            </w:r>
          </w:p>
        </w:tc>
        <w:tc>
          <w:tcPr/>
          <w:p>
            <w:pPr>
              <w:pStyle w:val="Compact"/>
              <w:spacing w:line="240" w:lineRule="auto" w:after="40"/>
              <w:ind w:firstLine="0"/>
            </w:pPr>
            <w:r>
              <w:rPr>
                <w:rFonts w:ascii="Times New Roman" w:hAnsi="Times New Roman" w:eastAsia="Times New Roman"/>
                <w:sz w:val="20"/>
              </w:rPr>
              <w:t xml:space="preserve">Одновременная оценка анатомии и функции сердца; метод визуализации первой линии при шоке</w:t>
            </w:r>
          </w:p>
        </w:tc>
        <w:tc>
          <w:tcPr/>
          <w:p>
            <w:pPr>
              <w:pStyle w:val="Compact"/>
              <w:spacing w:line="240" w:lineRule="auto" w:after="40"/>
              <w:ind w:firstLine="0"/>
            </w:pPr>
            <w:r>
              <w:rPr>
                <w:rFonts w:ascii="Times New Roman" w:hAnsi="Times New Roman" w:eastAsia="Times New Roman"/>
                <w:sz w:val="20"/>
              </w:rPr>
              <w:t xml:space="preserve">Зависимость от действий оператора и качества визуализации; отдельные, а не непрерывные измерения; погрешность геометрических расчетов</w:t>
            </w:r>
          </w:p>
        </w:tc>
      </w:tr>
      <w:tr>
        <w:tc>
          <w:tcPr/>
          <w:p>
            <w:pPr>
              <w:pStyle w:val="Compact"/>
              <w:spacing w:line="240" w:lineRule="auto" w:after="40"/>
              <w:ind w:firstLine="0"/>
            </w:pPr>
            <w:r>
              <w:rPr>
                <w:rFonts w:ascii="Times New Roman" w:hAnsi="Times New Roman" w:eastAsia="Times New Roman"/>
                <w:sz w:val="20"/>
              </w:rPr>
              <w:t xml:space="preserve">Неинвазивная непрерывная регистрация артериальной волны</w:t>
            </w:r>
          </w:p>
        </w:tc>
        <w:tc>
          <w:tcPr/>
          <w:p>
            <w:pPr>
              <w:pStyle w:val="Compact"/>
              <w:spacing w:line="240" w:lineRule="auto" w:after="40"/>
              <w:ind w:firstLine="0"/>
            </w:pPr>
            <w:r>
              <w:rPr>
                <w:rFonts w:ascii="Times New Roman" w:hAnsi="Times New Roman" w:eastAsia="Times New Roman"/>
                <w:sz w:val="20"/>
              </w:rPr>
              <w:t xml:space="preserve">Метод объемного зажима и связанные алгоритмы</w:t>
            </w:r>
          </w:p>
        </w:tc>
        <w:tc>
          <w:tcPr/>
          <w:p>
            <w:pPr>
              <w:pStyle w:val="Compact"/>
              <w:spacing w:line="240" w:lineRule="auto" w:after="40"/>
              <w:ind w:firstLine="0"/>
            </w:pPr>
            <w:r>
              <w:rPr>
                <w:rFonts w:ascii="Times New Roman" w:hAnsi="Times New Roman" w:eastAsia="Times New Roman"/>
                <w:sz w:val="20"/>
              </w:rPr>
              <w:t xml:space="preserve">Непрерывная регистрация без артериального катетера</w:t>
            </w:r>
          </w:p>
        </w:tc>
        <w:tc>
          <w:tcPr/>
          <w:p>
            <w:pPr>
              <w:pStyle w:val="Compact"/>
              <w:spacing w:line="240" w:lineRule="auto" w:after="40"/>
              <w:ind w:firstLine="0"/>
            </w:pPr>
            <w:r>
              <w:rPr>
                <w:rFonts w:ascii="Times New Roman" w:hAnsi="Times New Roman" w:eastAsia="Times New Roman"/>
                <w:sz w:val="20"/>
              </w:rPr>
              <w:t xml:space="preserve">Чувствительность к периферической перфузии и сосудистому тонусу</w:t>
            </w:r>
          </w:p>
        </w:tc>
      </w:tr>
      <w:tr>
        <w:tc>
          <w:tcPr/>
          <w:p>
            <w:pPr>
              <w:pStyle w:val="Compact"/>
              <w:spacing w:line="240" w:lineRule="auto" w:after="40"/>
              <w:ind w:firstLine="0"/>
            </w:pPr>
            <w:r>
              <w:rPr>
                <w:rFonts w:ascii="Times New Roman" w:hAnsi="Times New Roman" w:eastAsia="Times New Roman"/>
                <w:sz w:val="20"/>
              </w:rPr>
              <w:t xml:space="preserve">Биоимпеданс, биореактанс, электрическая кардиометрия</w:t>
            </w:r>
          </w:p>
        </w:tc>
        <w:tc>
          <w:tcPr/>
          <w:p>
            <w:pPr>
              <w:pStyle w:val="Compact"/>
              <w:spacing w:line="240" w:lineRule="auto" w:after="40"/>
              <w:ind w:firstLine="0"/>
            </w:pPr>
            <w:r>
              <w:rPr>
                <w:rFonts w:ascii="Times New Roman" w:hAnsi="Times New Roman" w:eastAsia="Times New Roman"/>
                <w:sz w:val="20"/>
              </w:rPr>
              <w:t xml:space="preserve">Изменение электрических свойств грудной клетки в течение сердечного цикла</w:t>
            </w:r>
          </w:p>
        </w:tc>
        <w:tc>
          <w:tcPr/>
          <w:p>
            <w:pPr>
              <w:pStyle w:val="Compact"/>
              <w:spacing w:line="240" w:lineRule="auto" w:after="40"/>
              <w:ind w:firstLine="0"/>
            </w:pPr>
            <w:r>
              <w:rPr>
                <w:rFonts w:ascii="Times New Roman" w:hAnsi="Times New Roman" w:eastAsia="Times New Roman"/>
                <w:sz w:val="20"/>
              </w:rPr>
              <w:t xml:space="preserve">Отсутствие сосудистого доступа; возможность повторной и непрерывной регистрации</w:t>
            </w:r>
          </w:p>
        </w:tc>
        <w:tc>
          <w:tcPr/>
          <w:p>
            <w:pPr>
              <w:pStyle w:val="Compact"/>
              <w:spacing w:line="240" w:lineRule="auto" w:after="40"/>
              <w:ind w:firstLine="0"/>
            </w:pPr>
            <w:r>
              <w:rPr>
                <w:rFonts w:ascii="Times New Roman" w:hAnsi="Times New Roman" w:eastAsia="Times New Roman"/>
                <w:sz w:val="20"/>
              </w:rPr>
              <w:t xml:space="preserve">Зависимость абсолютных значений SV и CO от модели; чувствительность к артефактам; различия точности между клиническими группами</w:t>
            </w:r>
          </w:p>
        </w:tc>
      </w:tr>
    </w:tbl>
    <w:p>
      <w:pPr>
        <w:pStyle w:val="BodyText"/>
      </w:pPr>
      <w:r>
        <w:rPr>
          <w:rFonts w:ascii="Times New Roman" w:hAnsi="Times New Roman" w:eastAsia="Times New Roman"/>
          <w:sz w:val="28"/>
        </w:rPr>
        <w:t xml:space="preserve">В таблице обобщены положения клинических обзоров и рекомендаций (de Keijzer и Scheeren, 2021; Bein и Renner, 2019; Cecconi и соавт., 2014; Monnet и соавт., 2025). Название «референтный метод» не означает отсутствия погрешности. На результат термодилюции влияют техника введения индикатора, положение катетера, фаза дыхательного цикла и стабильность состояния пациента. Результат допплеровской эхокардиографии зависит от измерения диаметра выходного тракта, угла сканирования и выбора сердечных циклов. Поэтому расхождение между испытуемым и референтным методами включает погрешности обоих измерений.</w:t>
      </w:r>
    </w:p>
    <w:p>
      <w:pPr>
        <w:pStyle w:val="BodyText"/>
      </w:pPr>
      <w:r>
        <w:rPr>
          <w:rFonts w:ascii="Times New Roman" w:hAnsi="Times New Roman" w:eastAsia="Times New Roman"/>
          <w:sz w:val="28"/>
        </w:rPr>
        <w:t xml:space="preserve">В клиническую практику внедряются менее инвазивные системы непрерывного мониторинга, позволяющие отслеживать быстрые изменения после вмешательства (Bein и Renner, 2019). Однако меньшая инвазивность не отменяет метрологической и клинической проверки. Валидация должна охватывать тот диапазон CO, сосудистого тонуса, условий вентиляции и анатомических особенностей, в котором предполагается применять устройство.</w:t>
      </w:r>
    </w:p>
    <w:p>
      <w:pPr>
        <w:pStyle w:val="BodyText"/>
      </w:pPr>
      <w:r>
        <w:rPr>
          <w:rFonts w:ascii="Times New Roman" w:hAnsi="Times New Roman" w:eastAsia="Times New Roman"/>
          <w:sz w:val="28"/>
        </w:rPr>
        <w:t xml:space="preserve">Клинический результат зависит не только от измерительного устройства, но и от последующего алгоритма принятия решений. Метаанализ 95 рандомизированных исследований, включавших 11 659 пациентов, показал связь современных алгоритмов целенаправленной гемодинамической терапии со снижением смертности: отношение шансов составило 0,66 (95 % ДИ 0,50–0,87). Однако степень уверенности в доказательствах была низкой или очень низкой, а применявшиеся алгоритмы различались (Chong и соавт., 2018). Следовательно, полученный результат относится ко всей последовательности «измерение — решение — лечение» и не доказывает самостоятельного влияния конкретного монитора на исход лечения.</w:t>
      </w:r>
    </w:p>
    <w:bookmarkEnd w:id="12"/>
    <w:bookmarkStart w:id="15" w:name="X47e0705a33bc177414ec04ff2736deacd1e6a74"/>
    <w:p>
      <w:pPr>
        <w:pStyle w:val="Heading2"/>
        <w:ind w:firstLine="0"/>
      </w:pPr>
      <w:r>
        <w:rPr>
          <w:rFonts w:ascii="Times New Roman" w:hAnsi="Times New Roman" w:eastAsia="Times New Roman"/>
          <w:sz w:val="28"/>
        </w:rPr>
        <w:t xml:space="preserve">3. Физические и расчетные основы импедансной кардиографии</w:t>
      </w:r>
    </w:p>
    <w:bookmarkStart w:id="13" w:name="измеряемый-сигнал"/>
    <w:p>
      <w:pPr>
        <w:pStyle w:val="Heading3"/>
        <w:ind w:firstLine="0"/>
      </w:pPr>
      <w:r>
        <w:rPr>
          <w:rFonts w:ascii="Times New Roman" w:hAnsi="Times New Roman" w:eastAsia="Times New Roman"/>
          <w:sz w:val="28"/>
        </w:rPr>
        <w:t xml:space="preserve">3.1. Измеряемый сигнал</w:t>
      </w:r>
    </w:p>
    <w:p>
      <w:pPr>
        <w:pStyle w:val="FirstParagraph"/>
      </w:pPr>
      <w:r>
        <w:rPr>
          <w:rFonts w:ascii="Times New Roman" w:hAnsi="Times New Roman" w:eastAsia="Times New Roman"/>
          <w:sz w:val="28"/>
        </w:rPr>
        <w:t xml:space="preserve">При трансторакальной ИКГ через грудную клетку пропускают слабый переменный ток и регистрируют базовый импеданс</w:t>
      </w:r>
      <w:r>
        <w:rPr>
          <w:rFonts w:ascii="Times New Roman" w:hAnsi="Times New Roman" w:eastAsia="Times New Roman"/>
          <w:sz w:val="28"/>
        </w:rPr>
        <w:t xml:space="preserve"> </w:t>
      </w:r>
      <w:r>
        <w:rPr>
          <w:rStyle w:val="VerbatimChar"/>
          <w:rFonts w:ascii="Times New Roman" w:hAnsi="Times New Roman" w:eastAsia="Times New Roman"/>
          <w:sz w:val="28"/>
        </w:rPr>
        <w:t xml:space="preserve">Z₀</w:t>
      </w:r>
      <w:r>
        <w:rPr>
          <w:rFonts w:ascii="Times New Roman" w:hAnsi="Times New Roman" w:eastAsia="Times New Roman"/>
          <w:sz w:val="28"/>
        </w:rPr>
        <w:t xml:space="preserve">, а также его пульсовые изменения</w:t>
      </w:r>
      <w:r>
        <w:rPr>
          <w:rFonts w:ascii="Times New Roman" w:hAnsi="Times New Roman" w:eastAsia="Times New Roman"/>
          <w:sz w:val="28"/>
        </w:rPr>
        <w:t xml:space="preserve"> </w:t>
      </w:r>
      <w:r>
        <w:rPr>
          <w:rStyle w:val="VerbatimChar"/>
          <w:rFonts w:ascii="Times New Roman" w:hAnsi="Times New Roman" w:eastAsia="Times New Roman"/>
          <w:sz w:val="28"/>
        </w:rPr>
        <w:t xml:space="preserve">ΔZ(t)</w:t>
      </w:r>
      <w:r>
        <w:rPr>
          <w:rFonts w:ascii="Times New Roman" w:hAnsi="Times New Roman" w:eastAsia="Times New Roman"/>
          <w:sz w:val="28"/>
        </w:rPr>
        <w:t xml:space="preserve">. Скорость изменения импеданса характеризует первая производная</w:t>
      </w:r>
      <w:r>
        <w:rPr>
          <w:rFonts w:ascii="Times New Roman" w:hAnsi="Times New Roman" w:eastAsia="Times New Roman"/>
          <w:sz w:val="28"/>
        </w:rPr>
        <w:t xml:space="preserve"> </w:t>
      </w:r>
      <w:r>
        <w:rPr>
          <w:rStyle w:val="VerbatimChar"/>
          <w:rFonts w:ascii="Times New Roman" w:hAnsi="Times New Roman" w:eastAsia="Times New Roman"/>
          <w:sz w:val="28"/>
        </w:rPr>
        <w:t xml:space="preserve">dZ/dt</w:t>
      </w:r>
      <w:r>
        <w:rPr>
          <w:rFonts w:ascii="Times New Roman" w:hAnsi="Times New Roman" w:eastAsia="Times New Roman"/>
          <w:sz w:val="28"/>
        </w:rPr>
        <w:t xml:space="preserve">. В классической работе Kubicek и соавт. для расчета ударного объема использовали базовый импеданс, максимальное значение</w:t>
      </w:r>
      <w:r>
        <w:rPr>
          <w:rFonts w:ascii="Times New Roman" w:hAnsi="Times New Roman" w:eastAsia="Times New Roman"/>
          <w:sz w:val="28"/>
        </w:rPr>
        <w:t xml:space="preserve"> </w:t>
      </w:r>
      <w:r>
        <w:rPr>
          <w:rStyle w:val="VerbatimChar"/>
          <w:rFonts w:ascii="Times New Roman" w:hAnsi="Times New Roman" w:eastAsia="Times New Roman"/>
          <w:sz w:val="28"/>
        </w:rPr>
        <w:t xml:space="preserve">dZ/dt</w:t>
      </w:r>
      <w:r>
        <w:rPr>
          <w:rFonts w:ascii="Times New Roman" w:hAnsi="Times New Roman" w:eastAsia="Times New Roman"/>
          <w:sz w:val="28"/>
        </w:rPr>
        <w:t xml:space="preserve">, эффективную длину проводящего сегмента и продолжительность периода изгнания крови. Последний показатель обозначают как время изгнания левого желудочка (</w:t>
      </w:r>
      <w:r>
        <w:rPr>
          <w:rStyle w:val="VerbatimChar"/>
          <w:rFonts w:ascii="Times New Roman" w:hAnsi="Times New Roman" w:eastAsia="Times New Roman"/>
          <w:sz w:val="28"/>
        </w:rPr>
        <w:t xml:space="preserve">LVET</w:t>
      </w:r>
      <w:r>
        <w:rPr>
          <w:rFonts w:ascii="Times New Roman" w:hAnsi="Times New Roman" w:eastAsia="Times New Roman"/>
          <w:sz w:val="28"/>
        </w:rPr>
        <w:t xml:space="preserve">). Таким образом, измерительный тракт регистрирует электрический сигнал, а значение ударного объема в миллилитрах получают с помощью расчетной модели.</w:t>
      </w:r>
    </w:p>
    <w:p>
      <w:pPr>
        <w:pStyle w:val="BodyText"/>
      </w:pPr>
      <w:r>
        <w:rPr>
          <w:rFonts w:ascii="Times New Roman" w:hAnsi="Times New Roman" w:eastAsia="Times New Roman"/>
          <w:sz w:val="28"/>
        </w:rPr>
        <w:t xml:space="preserve">В раннем техническом отчете метод считался более пригодным для оценки относительных изменений CO, чем для определения его абсолютного значения (Kubicek и соавт., 1966). В последующих формулах изменялись геометрическая модель грудной клетки, эффективная длина проводящего сегмента, поправки на рост и массу, удельное сопротивление крови и трактовка происхождения</w:t>
      </w:r>
      <w:r>
        <w:rPr>
          <w:rFonts w:ascii="Times New Roman" w:hAnsi="Times New Roman" w:eastAsia="Times New Roman"/>
          <w:sz w:val="28"/>
        </w:rPr>
        <w:t xml:space="preserve"> </w:t>
      </w:r>
      <w:r>
        <w:rPr>
          <w:rStyle w:val="VerbatimChar"/>
          <w:rFonts w:ascii="Times New Roman" w:hAnsi="Times New Roman" w:eastAsia="Times New Roman"/>
          <w:sz w:val="28"/>
        </w:rPr>
        <w:t xml:space="preserve">dZ/dt</w:t>
      </w:r>
      <w:r>
        <w:rPr>
          <w:rFonts w:ascii="Times New Roman" w:hAnsi="Times New Roman" w:eastAsia="Times New Roman"/>
          <w:sz w:val="28"/>
        </w:rPr>
        <w:t xml:space="preserve">. Bernstein (1986) заменил цилиндрическую модель моделью усеченного конуса и ввел антропометрические поправки. Поскольку длина проводящего сегмента входит в формулу в третьей степени, небольшая погрешность ее определения может привести к ошибке расчетного SV на 20–30 %. В исследовании 106 кардиохирургических пациентов средний CO, рассчитанный по уравнению Bernstein—Lemmens, составил 6,06 л/мин, а измеренный методом термодилюции — 5,97 л/мин. Более ранние формулы в этой выборке занижали CO (Bernstein и Lemmens, 2005). Эти результаты подтверждают преимущество нового уравнения только для исследованной выборки и одновременно показывают зависимость расчетного CO от выбранной формулы.</w:t>
      </w:r>
    </w:p>
    <w:p>
      <w:pPr>
        <w:pStyle w:val="BodyText"/>
      </w:pPr>
      <w:r>
        <w:rPr>
          <w:rFonts w:ascii="Times New Roman" w:hAnsi="Times New Roman" w:eastAsia="Times New Roman"/>
          <w:sz w:val="28"/>
        </w:rPr>
        <w:t xml:space="preserve">Электрическая велосиметрия и электрическая кардиометрия также основаны на четырехэлектродной регистрации, однако происхождение сигнала в их расчетных моделях трактуется иначе. Быстрые изменения проводимости связывают, в частности, с ориентацией эритроцитов при ускорении кровотока в аорте (Osypka, 1999; Cotter и соавт., 2006). Такое физическое объяснение само по себе не подтверждает точность расчетного показателя: результат необходимо сопоставлять с независимым методом и оценивать согласие измерений.</w:t>
      </w:r>
    </w:p>
    <w:bookmarkEnd w:id="13"/>
    <w:bookmarkStart w:id="14" w:name="источники-вариабельности"/>
    <w:p>
      <w:pPr>
        <w:pStyle w:val="Heading3"/>
        <w:ind w:firstLine="0"/>
      </w:pPr>
      <w:r>
        <w:rPr>
          <w:rFonts w:ascii="Times New Roman" w:hAnsi="Times New Roman" w:eastAsia="Times New Roman"/>
          <w:sz w:val="28"/>
        </w:rPr>
        <w:t xml:space="preserve">3.2. Источники вариабельности</w:t>
      </w:r>
    </w:p>
    <w:p>
      <w:pPr>
        <w:pStyle w:val="FirstParagraph"/>
      </w:pPr>
      <w:r>
        <w:rPr>
          <w:rFonts w:ascii="Times New Roman" w:hAnsi="Times New Roman" w:eastAsia="Times New Roman"/>
          <w:sz w:val="28"/>
        </w:rPr>
        <w:t xml:space="preserve">На результат ИКГ влияют аппаратные, электродные, анатомические, физиологические и алгоритмические факторы.</w:t>
      </w:r>
    </w:p>
    <w:p>
      <w:pPr>
        <w:pStyle w:val="BodyText"/>
      </w:pPr>
      <w:r>
        <w:rPr>
          <w:rFonts w:ascii="Times New Roman" w:hAnsi="Times New Roman" w:eastAsia="Times New Roman"/>
          <w:b/>
          <w:bCs/>
          <w:sz w:val="28"/>
        </w:rPr>
        <w:t xml:space="preserve">Аппаратные факторы.</w:t>
      </w:r>
      <w:r>
        <w:rPr>
          <w:rFonts w:ascii="Times New Roman" w:hAnsi="Times New Roman" w:eastAsia="Times New Roman"/>
          <w:sz w:val="28"/>
        </w:rPr>
        <w:t xml:space="preserve"> </w:t>
      </w:r>
      <w:r>
        <w:rPr>
          <w:rFonts w:ascii="Times New Roman" w:hAnsi="Times New Roman" w:eastAsia="Times New Roman"/>
          <w:sz w:val="28"/>
        </w:rPr>
        <w:t xml:space="preserve">Характеристики сигнала зависят от частоты и амплитуды возбуждающего тока, динамического диапазона усилителя, синхронизации с ЭКГ, частоты дискретизации и фильтрации. Поэтому разные приборы могут по-разному определять максимум производной и моменты открытия или закрытия клапанов.</w:t>
      </w:r>
    </w:p>
    <w:p>
      <w:pPr>
        <w:pStyle w:val="BodyText"/>
      </w:pPr>
      <w:r>
        <w:rPr>
          <w:rFonts w:ascii="Times New Roman" w:hAnsi="Times New Roman" w:eastAsia="Times New Roman"/>
          <w:b/>
          <w:bCs/>
          <w:sz w:val="28"/>
        </w:rPr>
        <w:t xml:space="preserve">Электродные и анатомические факторы.</w:t>
      </w:r>
      <w:r>
        <w:rPr>
          <w:rFonts w:ascii="Times New Roman" w:hAnsi="Times New Roman" w:eastAsia="Times New Roman"/>
          <w:sz w:val="28"/>
        </w:rPr>
        <w:t xml:space="preserve"> </w:t>
      </w:r>
      <w:r>
        <w:rPr>
          <w:rFonts w:ascii="Times New Roman" w:hAnsi="Times New Roman" w:eastAsia="Times New Roman"/>
          <w:sz w:val="28"/>
        </w:rPr>
        <w:t xml:space="preserve">Положение токовых и измерительных электродов определяет распределение чувствительности электрического поля. На измерение могут влиять размеры грудной клетки, распределение тканей и жидкости, послеоперационные изменения, масса тела и анатомия крупных сосудов.</w:t>
      </w:r>
    </w:p>
    <w:p>
      <w:pPr>
        <w:pStyle w:val="BodyText"/>
      </w:pPr>
      <w:r>
        <w:rPr>
          <w:rFonts w:ascii="Times New Roman" w:hAnsi="Times New Roman" w:eastAsia="Times New Roman"/>
          <w:b/>
          <w:bCs/>
          <w:sz w:val="28"/>
        </w:rPr>
        <w:t xml:space="preserve">Физиологические факторы.</w:t>
      </w:r>
      <w:r>
        <w:rPr>
          <w:rFonts w:ascii="Times New Roman" w:hAnsi="Times New Roman" w:eastAsia="Times New Roman"/>
          <w:sz w:val="28"/>
        </w:rPr>
        <w:t xml:space="preserve"> </w:t>
      </w:r>
      <w:r>
        <w:rPr>
          <w:rFonts w:ascii="Times New Roman" w:hAnsi="Times New Roman" w:eastAsia="Times New Roman"/>
          <w:sz w:val="28"/>
        </w:rPr>
        <w:t xml:space="preserve">Дыхание, механическая вентиляция, аритмия, положение тела, а также изменения преднагрузки, постнагрузки и сосудистого тонуса влияют как на фактический SV, так и на условия регистрации. Повышение внутригрудного давления может одновременно изменять несколько компонентов сигнала.</w:t>
      </w:r>
    </w:p>
    <w:p>
      <w:pPr>
        <w:pStyle w:val="BodyText"/>
      </w:pPr>
      <w:r>
        <w:rPr>
          <w:rFonts w:ascii="Times New Roman" w:hAnsi="Times New Roman" w:eastAsia="Times New Roman"/>
          <w:b/>
          <w:bCs/>
          <w:sz w:val="28"/>
        </w:rPr>
        <w:t xml:space="preserve">Алгоритмические факторы.</w:t>
      </w:r>
      <w:r>
        <w:rPr>
          <w:rFonts w:ascii="Times New Roman" w:hAnsi="Times New Roman" w:eastAsia="Times New Roman"/>
          <w:sz w:val="28"/>
        </w:rPr>
        <w:t xml:space="preserve"> </w:t>
      </w:r>
      <w:r>
        <w:rPr>
          <w:rFonts w:ascii="Times New Roman" w:hAnsi="Times New Roman" w:eastAsia="Times New Roman"/>
          <w:sz w:val="28"/>
        </w:rPr>
        <w:t xml:space="preserve">Обработка данных включает обнаружение сердечных циклов, выбор пригодных для анализа комплексов, подавление артефактов, определение</w:t>
      </w:r>
      <w:r>
        <w:rPr>
          <w:rFonts w:ascii="Times New Roman" w:hAnsi="Times New Roman" w:eastAsia="Times New Roman"/>
          <w:sz w:val="28"/>
        </w:rPr>
        <w:t xml:space="preserve"> </w:t>
      </w:r>
      <w:r>
        <w:rPr>
          <w:rStyle w:val="VerbatimChar"/>
          <w:rFonts w:ascii="Times New Roman" w:hAnsi="Times New Roman" w:eastAsia="Times New Roman"/>
          <w:sz w:val="28"/>
        </w:rPr>
        <w:t xml:space="preserve">LVET</w:t>
      </w:r>
      <w:r>
        <w:rPr>
          <w:rFonts w:ascii="Times New Roman" w:hAnsi="Times New Roman" w:eastAsia="Times New Roman"/>
          <w:sz w:val="28"/>
        </w:rPr>
        <w:t xml:space="preserve">, усреднение и пересчет электрического сигнала в объем. Поэтому одинаковое расположение электродов при разных версиях программного обеспечения не гарантирует одинакового расчетного CO.</w:t>
      </w:r>
    </w:p>
    <w:p>
      <w:pPr>
        <w:pStyle w:val="BodyText"/>
      </w:pPr>
      <w:r>
        <w:rPr>
          <w:rFonts w:ascii="Times New Roman" w:hAnsi="Times New Roman" w:eastAsia="Times New Roman"/>
          <w:sz w:val="28"/>
        </w:rPr>
        <w:t xml:space="preserve">В методологических рекомендациях Sherwood и соавт. (1990) отмечена недостаточная стандартизация теоретических моделей, аппаратуры, расположения электродов и обработки сигнала. При описании современных систем также необходимо указывать схему регистрации, параметры обработки и версию программного обеспечения.</w:t>
      </w:r>
    </w:p>
    <w:bookmarkEnd w:id="14"/>
    <w:bookmarkEnd w:id="15"/>
    <w:bookmarkStart w:id="19" w:name="Xbea05a573fce098f7fa9eaaf938b04280b923bd"/>
    <w:p>
      <w:pPr>
        <w:pStyle w:val="Heading2"/>
        <w:ind w:firstLine="0"/>
      </w:pPr>
      <w:r>
        <w:rPr>
          <w:rFonts w:ascii="Times New Roman" w:hAnsi="Times New Roman" w:eastAsia="Times New Roman"/>
          <w:sz w:val="28"/>
        </w:rPr>
        <w:t xml:space="preserve">4. Оценка точности и согласия гемодинамических методов</w:t>
      </w:r>
    </w:p>
    <w:bookmarkStart w:id="16" w:name="корреляция-и-согласие"/>
    <w:p>
      <w:pPr>
        <w:pStyle w:val="Heading3"/>
        <w:ind w:firstLine="0"/>
      </w:pPr>
      <w:r>
        <w:rPr>
          <w:rFonts w:ascii="Times New Roman" w:hAnsi="Times New Roman" w:eastAsia="Times New Roman"/>
          <w:sz w:val="28"/>
        </w:rPr>
        <w:t xml:space="preserve">4.1. Корреляция и согласие</w:t>
      </w:r>
    </w:p>
    <w:p>
      <w:pPr>
        <w:pStyle w:val="FirstParagraph"/>
      </w:pPr>
      <w:r>
        <w:rPr>
          <w:rFonts w:ascii="Times New Roman" w:hAnsi="Times New Roman" w:eastAsia="Times New Roman"/>
          <w:sz w:val="28"/>
        </w:rPr>
        <w:t xml:space="preserve">Высокая корреляция показывает совместное изменение двух показателей, но не исключает постоянного или пропорционального смещения между ними. Коэффициент</w:t>
      </w:r>
      <w:r>
        <w:rPr>
          <w:rFonts w:ascii="Times New Roman" w:hAnsi="Times New Roman" w:eastAsia="Times New Roman"/>
          <w:sz w:val="28"/>
        </w:rPr>
        <w:t xml:space="preserve"> </w:t>
      </w:r>
      <w:r>
        <w:rPr>
          <w:rStyle w:val="VerbatimChar"/>
          <w:rFonts w:ascii="Times New Roman" w:hAnsi="Times New Roman" w:eastAsia="Times New Roman"/>
          <w:sz w:val="28"/>
        </w:rPr>
        <w:t xml:space="preserve">r</w:t>
      </w:r>
      <w:r>
        <w:rPr>
          <w:rFonts w:ascii="Times New Roman" w:hAnsi="Times New Roman" w:eastAsia="Times New Roman"/>
          <w:sz w:val="28"/>
        </w:rPr>
        <w:t xml:space="preserve">, близкий к единице, может сочетаться с клинически неприемлемыми расхождениями. Поэтому при сравнении методов определения CO необходимо оценивать как минимум смещение и пределы согласия по Бланду—Альтману. При повторных измерениях у одного пациента статистический анализ должен учитывать зависимость наблюдений; рассмотрение всех пар как независимых приводит к занижению неопределенности.</w:t>
      </w:r>
    </w:p>
    <w:p>
      <w:pPr>
        <w:pStyle w:val="BodyText"/>
      </w:pPr>
      <w:r>
        <w:rPr>
          <w:rFonts w:ascii="Times New Roman" w:hAnsi="Times New Roman" w:eastAsia="Times New Roman"/>
          <w:sz w:val="28"/>
        </w:rPr>
        <w:t xml:space="preserve">Различие между корреляцией и согласием видно в ранних исследованиях. Boer и соавт. (1979) получили</w:t>
      </w:r>
      <w:r>
        <w:rPr>
          <w:rFonts w:ascii="Times New Roman" w:hAnsi="Times New Roman" w:eastAsia="Times New Roman"/>
          <w:sz w:val="28"/>
        </w:rPr>
        <w:t xml:space="preserve"> </w:t>
      </w:r>
      <w:r>
        <w:rPr>
          <w:rStyle w:val="VerbatimChar"/>
          <w:rFonts w:ascii="Times New Roman" w:hAnsi="Times New Roman" w:eastAsia="Times New Roman"/>
          <w:sz w:val="28"/>
        </w:rPr>
        <w:t xml:space="preserve">r = 0,61</w:t>
      </w:r>
      <w:r>
        <w:rPr>
          <w:rFonts w:ascii="Times New Roman" w:hAnsi="Times New Roman" w:eastAsia="Times New Roman"/>
          <w:sz w:val="28"/>
        </w:rPr>
        <w:t xml:space="preserve"> </w:t>
      </w:r>
      <w:r>
        <w:rPr>
          <w:rFonts w:ascii="Times New Roman" w:hAnsi="Times New Roman" w:eastAsia="Times New Roman"/>
          <w:sz w:val="28"/>
        </w:rPr>
        <w:t xml:space="preserve">для абсолютного CO и</w:t>
      </w:r>
      <w:r>
        <w:rPr>
          <w:rFonts w:ascii="Times New Roman" w:hAnsi="Times New Roman" w:eastAsia="Times New Roman"/>
          <w:sz w:val="28"/>
        </w:rPr>
        <w:t xml:space="preserve"> </w:t>
      </w:r>
      <w:r>
        <w:rPr>
          <w:rStyle w:val="VerbatimChar"/>
          <w:rFonts w:ascii="Times New Roman" w:hAnsi="Times New Roman" w:eastAsia="Times New Roman"/>
          <w:sz w:val="28"/>
        </w:rPr>
        <w:t xml:space="preserve">r = 0,84</w:t>
      </w:r>
      <w:r>
        <w:rPr>
          <w:rFonts w:ascii="Times New Roman" w:hAnsi="Times New Roman" w:eastAsia="Times New Roman"/>
          <w:sz w:val="28"/>
        </w:rPr>
        <w:t xml:space="preserve"> </w:t>
      </w:r>
      <w:r>
        <w:rPr>
          <w:rFonts w:ascii="Times New Roman" w:hAnsi="Times New Roman" w:eastAsia="Times New Roman"/>
          <w:sz w:val="28"/>
        </w:rPr>
        <w:t xml:space="preserve">для относительных изменений. Эти результаты указывают на более тесную связь изменений показателей, но не подтверждают взаимозаменяемость абсолютных значений. В работе Bowling и соавт. (1993) связь между расчетной и радионуклидной LVEF характеризовалась значением</w:t>
      </w:r>
      <w:r>
        <w:rPr>
          <w:rFonts w:ascii="Times New Roman" w:hAnsi="Times New Roman" w:eastAsia="Times New Roman"/>
          <w:sz w:val="28"/>
        </w:rPr>
        <w:t xml:space="preserve"> </w:t>
      </w:r>
      <w:r>
        <w:rPr>
          <w:rStyle w:val="VerbatimChar"/>
          <w:rFonts w:ascii="Times New Roman" w:hAnsi="Times New Roman" w:eastAsia="Times New Roman"/>
          <w:sz w:val="28"/>
        </w:rPr>
        <w:t xml:space="preserve">r² = 0,55</w:t>
      </w:r>
      <w:r>
        <w:rPr>
          <w:rFonts w:ascii="Times New Roman" w:hAnsi="Times New Roman" w:eastAsia="Times New Roman"/>
          <w:sz w:val="28"/>
        </w:rPr>
        <w:t xml:space="preserve">. При этом средняя разность составляла −8,85 процентного пункта, а пределы согласия — приблизительно от −23,2 до 5,5 процентного пункта. Такие пределы не подтверждают взаимозаменяемость методов.</w:t>
      </w:r>
    </w:p>
    <w:bookmarkEnd w:id="16"/>
    <w:bookmarkStart w:id="17" w:name="процентная-ошибка"/>
    <w:p>
      <w:pPr>
        <w:pStyle w:val="Heading3"/>
        <w:ind w:firstLine="0"/>
      </w:pPr>
      <w:r>
        <w:rPr>
          <w:rFonts w:ascii="Times New Roman" w:hAnsi="Times New Roman" w:eastAsia="Times New Roman"/>
          <w:sz w:val="28"/>
        </w:rPr>
        <w:t xml:space="preserve">4.2. Процентная ошибка</w:t>
      </w:r>
    </w:p>
    <w:p>
      <w:pPr>
        <w:pStyle w:val="FirstParagraph"/>
      </w:pPr>
      <w:r>
        <w:rPr>
          <w:rFonts w:ascii="Times New Roman" w:hAnsi="Times New Roman" w:eastAsia="Times New Roman"/>
          <w:sz w:val="28"/>
        </w:rPr>
        <w:t xml:space="preserve">Critchley и Critchley (1999) предложили соотносить ширину пределов согласия со средним CO и использовали значение около 30 % как ориентир приемлемости нового метода. В их метаанализе соответствующий показатель для биоимпеданса составил приблизительно ±37 %. Ориентир 30 % нельзя применять независимо от условий сравнения: его интерпретация зависит от точности обоих методов, диапазона значений, способа учета повторных измерений, наличия пропорционального смещения и клинической задачи.</w:t>
      </w:r>
    </w:p>
    <w:p>
      <w:pPr>
        <w:pStyle w:val="BodyText"/>
      </w:pPr>
      <w:r>
        <w:rPr>
          <w:rFonts w:ascii="Times New Roman" w:hAnsi="Times New Roman" w:eastAsia="Times New Roman"/>
          <w:sz w:val="28"/>
        </w:rPr>
        <w:t xml:space="preserve">Малое среднее смещение также не подтверждает приемлемого согласия. Положительные и отрицательные ошибки могут взаимно компенсироваться, хотя пределы согласия остаются широкими. В метаанализе Sanders и соавт. сводное смещение электрической кардиометрии было близко к нулю как у взрослых, так и у детей. Однако средняя процентная ошибка (mean percentage error, MPE) составляла 48 и 42 %, а межисследовательская неоднородность —</w:t>
      </w:r>
      <w:r>
        <w:rPr>
          <w:rFonts w:ascii="Times New Roman" w:hAnsi="Times New Roman" w:eastAsia="Times New Roman"/>
          <w:sz w:val="28"/>
        </w:rPr>
        <w:t xml:space="preserve"> </w:t>
      </w:r>
      <w:r>
        <w:rPr>
          <w:rStyle w:val="VerbatimChar"/>
          <w:rFonts w:ascii="Times New Roman" w:hAnsi="Times New Roman" w:eastAsia="Times New Roman"/>
          <w:sz w:val="28"/>
        </w:rPr>
        <w:t xml:space="preserve">I² = 93 %</w:t>
      </w:r>
      <w:r>
        <w:rPr>
          <w:rFonts w:ascii="Times New Roman" w:hAnsi="Times New Roman" w:eastAsia="Times New Roman"/>
          <w:sz w:val="28"/>
        </w:rPr>
        <w:t xml:space="preserve"> </w:t>
      </w:r>
      <w:r>
        <w:rPr>
          <w:rFonts w:ascii="Times New Roman" w:hAnsi="Times New Roman" w:eastAsia="Times New Roman"/>
          <w:sz w:val="28"/>
        </w:rPr>
        <w:t xml:space="preserve">и</w:t>
      </w:r>
      <w:r>
        <w:rPr>
          <w:rFonts w:ascii="Times New Roman" w:hAnsi="Times New Roman" w:eastAsia="Times New Roman"/>
          <w:sz w:val="28"/>
        </w:rPr>
        <w:t xml:space="preserve"> </w:t>
      </w:r>
      <w:r>
        <w:rPr>
          <w:rStyle w:val="VerbatimChar"/>
          <w:rFonts w:ascii="Times New Roman" w:hAnsi="Times New Roman" w:eastAsia="Times New Roman"/>
          <w:sz w:val="28"/>
        </w:rPr>
        <w:t xml:space="preserve">I² = 86 %</w:t>
      </w:r>
      <w:r>
        <w:rPr>
          <w:rFonts w:ascii="Times New Roman" w:hAnsi="Times New Roman" w:eastAsia="Times New Roman"/>
          <w:sz w:val="28"/>
        </w:rPr>
        <w:t xml:space="preserve"> </w:t>
      </w:r>
      <w:r>
        <w:rPr>
          <w:rFonts w:ascii="Times New Roman" w:hAnsi="Times New Roman" w:eastAsia="Times New Roman"/>
          <w:sz w:val="28"/>
        </w:rPr>
        <w:t xml:space="preserve">соответственно (Sanders и соавт., 2019). Следовательно, оценка согласия должна учитывать весь диапазон расхождений, а не только их среднее значение.</w:t>
      </w:r>
    </w:p>
    <w:bookmarkEnd w:id="17"/>
    <w:bookmarkStart w:id="18" w:name="способность-отслеживать-изменения"/>
    <w:p>
      <w:pPr>
        <w:pStyle w:val="Heading3"/>
        <w:ind w:firstLine="0"/>
      </w:pPr>
      <w:r>
        <w:rPr>
          <w:rFonts w:ascii="Times New Roman" w:hAnsi="Times New Roman" w:eastAsia="Times New Roman"/>
          <w:sz w:val="28"/>
        </w:rPr>
        <w:t xml:space="preserve">4.3. Способность отслеживать изменения</w:t>
      </w:r>
    </w:p>
    <w:p>
      <w:pPr>
        <w:pStyle w:val="FirstParagraph"/>
      </w:pPr>
      <w:r>
        <w:rPr>
          <w:rFonts w:ascii="Times New Roman" w:hAnsi="Times New Roman" w:eastAsia="Times New Roman"/>
          <w:sz w:val="28"/>
        </w:rPr>
        <w:t xml:space="preserve">Для мониторинга важна не только близость абсолютных значений, но и способность метода отражать направление и величину изменения после вмешательства. Это свойство оценивают отдельно, например с помощью четырехквадрантного анализа и заранее заданной зоны исключения малых изменений. Высокая доля совпадений по направлению не подтверждает точность абсолютных значений. В свою очередь, согласие в стабильном состоянии не гарантирует правильного отражения динамики при быстром изменении сосудистого тонуса.</w:t>
      </w:r>
    </w:p>
    <w:p>
      <w:pPr>
        <w:pStyle w:val="BodyText"/>
      </w:pPr>
      <w:r>
        <w:rPr>
          <w:rFonts w:ascii="Times New Roman" w:hAnsi="Times New Roman" w:eastAsia="Times New Roman"/>
          <w:sz w:val="28"/>
        </w:rPr>
        <w:t xml:space="preserve">Поэтому абсолютную точность, воспроизводимость повторных измерений и способность отражать изменения необходимо оценивать раздельно. Результаты следует указывать для конкретной клинической группы и условий измерения.</w:t>
      </w:r>
    </w:p>
    <w:bookmarkEnd w:id="18"/>
    <w:bookmarkEnd w:id="19"/>
    <w:bookmarkStart w:id="22" w:name="X7a2861a82772e34b1c0f9f68b50a164d8f19043"/>
    <w:p>
      <w:pPr>
        <w:pStyle w:val="Heading2"/>
        <w:ind w:firstLine="0"/>
      </w:pPr>
      <w:r>
        <w:rPr>
          <w:rFonts w:ascii="Times New Roman" w:hAnsi="Times New Roman" w:eastAsia="Times New Roman"/>
          <w:sz w:val="28"/>
        </w:rPr>
        <w:t xml:space="preserve">5. Точность ИКГ и электрической кардиометрии у взрослых</w:t>
      </w:r>
    </w:p>
    <w:bookmarkStart w:id="20" w:name="от-ранних-исследований-к-метаанализам"/>
    <w:p>
      <w:pPr>
        <w:pStyle w:val="Heading3"/>
        <w:ind w:firstLine="0"/>
      </w:pPr>
      <w:r>
        <w:rPr>
          <w:rFonts w:ascii="Times New Roman" w:hAnsi="Times New Roman" w:eastAsia="Times New Roman"/>
          <w:sz w:val="28"/>
        </w:rPr>
        <w:t xml:space="preserve">5.1. От ранних исследований к метаанализам</w:t>
      </w:r>
    </w:p>
    <w:p>
      <w:pPr>
        <w:pStyle w:val="FirstParagraph"/>
      </w:pPr>
      <w:r>
        <w:rPr>
          <w:rFonts w:ascii="Times New Roman" w:hAnsi="Times New Roman" w:eastAsia="Times New Roman"/>
          <w:sz w:val="28"/>
        </w:rPr>
        <w:t xml:space="preserve">Результаты ранних исследований были неоднородными. В работе Boer и соавт. (1979) относительные изменения CO теснее коррелировали с референтными значениями, чем абсолютный CO. Goldstein и соавт. (1986) также сообщили о положительных корреляциях, однако эти показатели не характеризуют согласие методов. В исследовании Spiering и соавт. (1998), включавшем пять здоровых мужчин и 35 пар измерений, средний CO по данным ИКГ составлял 10,2 л/мин, а по данным разведения красителя — 7,4 л/мин. Смещение составило −2,9 л/мин, пределы согласия — от −9,0 до 3,2 л/мин; изменения показателей также не совпадали. Малая выборка ограничивает точность оценки, но полученные пределы согласия подтверждают недостаточность одной корреляции для вывода о взаимозаменяемости.</w:t>
      </w:r>
    </w:p>
    <w:p>
      <w:pPr>
        <w:pStyle w:val="BodyText"/>
      </w:pPr>
      <w:r>
        <w:rPr>
          <w:rFonts w:ascii="Times New Roman" w:hAnsi="Times New Roman" w:eastAsia="Times New Roman"/>
          <w:sz w:val="28"/>
        </w:rPr>
        <w:t xml:space="preserve">У 50 критически больных пациентов Zoremba и соавт. (2007) получили процентную ошибку около 26 % при сравнении электрической велосиметрии с термодилюцией через катетер легочной артерии и транспульмональной термодилюцией. В другом исследовании Heringlake и соавт. (2007) не обнаружили приемлемого согласия. Эти расходящиеся результаты необходимо рассматривать совместно. Различия могут быть связаны с составом выборок, диапазоном CO, моделью устройства, референтным методом и статистическим учетом повторных измерений.</w:t>
      </w:r>
    </w:p>
    <w:p>
      <w:pPr>
        <w:pStyle w:val="BodyText"/>
      </w:pPr>
      <w:r>
        <w:rPr>
          <w:rFonts w:ascii="Times New Roman" w:hAnsi="Times New Roman" w:eastAsia="Times New Roman"/>
          <w:sz w:val="28"/>
        </w:rPr>
        <w:t xml:space="preserve">В систематический обзор Sanders и соавт. вошли 13 исследований у взрослых, включавших в общей сложности 620 пациентов. Среднее смещение составило 0,03 л/мин, пределы согласия — от −2,78 до 2,84 л/мин, MPE — 48 %. Высокая межисследовательская неоднородность (</w:t>
      </w:r>
      <w:r>
        <w:rPr>
          <w:rStyle w:val="VerbatimChar"/>
          <w:rFonts w:ascii="Times New Roman" w:hAnsi="Times New Roman" w:eastAsia="Times New Roman"/>
          <w:sz w:val="28"/>
        </w:rPr>
        <w:t xml:space="preserve">I² = 93 %</w:t>
      </w:r>
      <w:r>
        <w:rPr>
          <w:rFonts w:ascii="Times New Roman" w:hAnsi="Times New Roman" w:eastAsia="Times New Roman"/>
          <w:sz w:val="28"/>
        </w:rPr>
        <w:t xml:space="preserve">) ограничивает применимость сводной оценки в конкретной клинической группе. Авторы не подтвердили возможность замены референтных методов электрической кардиометрией при определении абсолютного CO (Sanders и соавт., 2019).</w:t>
      </w:r>
    </w:p>
    <w:bookmarkEnd w:id="20"/>
    <w:bookmarkStart w:id="21" w:name="отдельные-клинические-группы"/>
    <w:p>
      <w:pPr>
        <w:pStyle w:val="Heading3"/>
        <w:ind w:firstLine="0"/>
      </w:pPr>
      <w:r>
        <w:rPr>
          <w:rFonts w:ascii="Times New Roman" w:hAnsi="Times New Roman" w:eastAsia="Times New Roman"/>
          <w:sz w:val="28"/>
        </w:rPr>
        <w:t xml:space="preserve">5.2. Отдельные клинические группы</w:t>
      </w:r>
    </w:p>
    <w:p>
      <w:pPr>
        <w:pStyle w:val="FirstParagraph"/>
      </w:pPr>
      <w:r>
        <w:rPr>
          <w:rFonts w:ascii="Times New Roman" w:hAnsi="Times New Roman" w:eastAsia="Times New Roman"/>
          <w:sz w:val="28"/>
        </w:rPr>
        <w:t xml:space="preserve">У кардиохирургических пациентов точность неинвазивного метода может снижаться из-за быстрых изменений преднагрузки, температуры, сосудистого тонуса, режима вентиляции и водного баланса. Cox и соавт. (2017) обследовали 50 пациентов с физическим статусом ASA III–IV и сравнили электрическую кардиометрию с непрерывной термодилюцией через катетер легочной артерии. Процентная ошибка превышала 30 % во всех временных точках, а способность отражать изменения была недостаточной. В исследовании Greiwe и соавт. (2024), включавшем 41 пациента после аортокоронарного шунтирования и 157 пар измерений, MPE составила 47 % (95 % ДИ 37–56 %), а доля совпадений по направлению изменений — 48 %. Таким образом, это исследование также не подтвердило приемлемую точность метода в данной клинической группе.</w:t>
      </w:r>
    </w:p>
    <w:p>
      <w:pPr>
        <w:pStyle w:val="BodyText"/>
      </w:pPr>
      <w:r>
        <w:rPr>
          <w:rFonts w:ascii="Times New Roman" w:hAnsi="Times New Roman" w:eastAsia="Times New Roman"/>
          <w:sz w:val="28"/>
        </w:rPr>
        <w:t xml:space="preserve">При кесаревом сечении Feng и Liu (2020) получили 124 пары измерений у 20 женщин. Коэффициенты корреляции CO и SV между электрической велосиметрией и эхокардиографией составляли</w:t>
      </w:r>
      <w:r>
        <w:rPr>
          <w:rFonts w:ascii="Times New Roman" w:hAnsi="Times New Roman" w:eastAsia="Times New Roman"/>
          <w:sz w:val="28"/>
        </w:rPr>
        <w:t xml:space="preserve"> </w:t>
      </w:r>
      <w:r>
        <w:rPr>
          <w:rStyle w:val="VerbatimChar"/>
          <w:rFonts w:ascii="Times New Roman" w:hAnsi="Times New Roman" w:eastAsia="Times New Roman"/>
          <w:sz w:val="28"/>
        </w:rPr>
        <w:t xml:space="preserve">r = 0,397</w:t>
      </w:r>
      <w:r>
        <w:rPr>
          <w:rFonts w:ascii="Times New Roman" w:hAnsi="Times New Roman" w:eastAsia="Times New Roman"/>
          <w:sz w:val="28"/>
        </w:rPr>
        <w:t xml:space="preserve"> </w:t>
      </w:r>
      <w:r>
        <w:rPr>
          <w:rFonts w:ascii="Times New Roman" w:hAnsi="Times New Roman" w:eastAsia="Times New Roman"/>
          <w:sz w:val="28"/>
        </w:rPr>
        <w:t xml:space="preserve">и</w:t>
      </w:r>
      <w:r>
        <w:rPr>
          <w:rFonts w:ascii="Times New Roman" w:hAnsi="Times New Roman" w:eastAsia="Times New Roman"/>
          <w:sz w:val="28"/>
        </w:rPr>
        <w:t xml:space="preserve"> </w:t>
      </w:r>
      <w:r>
        <w:rPr>
          <w:rStyle w:val="VerbatimChar"/>
          <w:rFonts w:ascii="Times New Roman" w:hAnsi="Times New Roman" w:eastAsia="Times New Roman"/>
          <w:sz w:val="28"/>
        </w:rPr>
        <w:t xml:space="preserve">r = 0,357</w:t>
      </w:r>
      <w:r>
        <w:rPr>
          <w:rFonts w:ascii="Times New Roman" w:hAnsi="Times New Roman" w:eastAsia="Times New Roman"/>
          <w:sz w:val="28"/>
        </w:rPr>
        <w:t xml:space="preserve">, а MPE — 62 и 60 % соответственно. При этом доля совпадений по направлению изменений достигала 85 % для CO и 82 % для SV. Следовательно, в этой выборке согласие абсолютных значений было недостаточным, тогда как направление изменений воспроизводилось умеренно. Распространять этот результат на кардиохирургических или критически больных пациентов нельзя: в исследованиях Cox и Greiwe способность отражать изменения была низкой.</w:t>
      </w:r>
    </w:p>
    <w:p>
      <w:pPr>
        <w:pStyle w:val="BodyText"/>
      </w:pPr>
      <w:r>
        <w:rPr>
          <w:rFonts w:ascii="Times New Roman" w:hAnsi="Times New Roman" w:eastAsia="Times New Roman"/>
          <w:sz w:val="28"/>
        </w:rPr>
        <w:t xml:space="preserve">Другие публикации содержат результаты измерений при физической нагрузке, анестезии, трансплантации печени и различных сердечно-сосудистых заболеваниях (Thomas и соавт., 1992; Scherhag и соавт., 2005; Trinkmann и соавт., 2011; Wang и соавт., 2018). Разнообразие условий не позволяет получить единую оценку точности без разделения исследований по клиническим группам и задачам мониторинга.</w:t>
      </w:r>
    </w:p>
    <w:bookmarkEnd w:id="21"/>
    <w:bookmarkEnd w:id="22"/>
    <w:bookmarkStart w:id="23" w:name="Xcf73de55a810b9313310e7d5cc33beaab1e1d0d"/>
    <w:p>
      <w:pPr>
        <w:pStyle w:val="Heading2"/>
        <w:ind w:firstLine="0"/>
      </w:pPr>
      <w:r>
        <w:rPr>
          <w:rFonts w:ascii="Times New Roman" w:hAnsi="Times New Roman" w:eastAsia="Times New Roman"/>
          <w:sz w:val="28"/>
        </w:rPr>
        <w:t xml:space="preserve">6. Педиатрические и неонатальные исследования</w:t>
      </w:r>
    </w:p>
    <w:p>
      <w:pPr>
        <w:pStyle w:val="FirstParagraph"/>
      </w:pPr>
      <w:r>
        <w:rPr>
          <w:rFonts w:ascii="Times New Roman" w:hAnsi="Times New Roman" w:eastAsia="Times New Roman"/>
          <w:sz w:val="28"/>
        </w:rPr>
        <w:t xml:space="preserve">Возможность обходиться без сосудистого доступа особенно важна при обследовании новорожденных и детей. Однако расчетную модель, разработанную для взрослых, нельзя переносить в педиатрическую практику простым уменьшением размера электродов. На условия измерения влияют соотношение размеров сердца и грудной клетки, внутрисердечные и сосудистые шунты, врожденные пороки, высокая частота сердечных сокращений, малая масса тела и режим вентиляции.</w:t>
      </w:r>
    </w:p>
    <w:p>
      <w:pPr>
        <w:pStyle w:val="BodyText"/>
      </w:pPr>
      <w:r>
        <w:rPr>
          <w:rFonts w:ascii="Times New Roman" w:hAnsi="Times New Roman" w:eastAsia="Times New Roman"/>
          <w:sz w:val="28"/>
        </w:rPr>
        <w:t xml:space="preserve">В исследовании Noori и соавт. (2012) у 20 новорожденных получено 115 пар измерений электрической велосиметрии и эхокардиографии. Среднее смещение составило −4 мл/мин, а показатель прецизионности — 234 мл/мин. Авторы также учитывали погрешность эхокардиографического измерения. Поэтому малое среднее смещение не подтверждает высокую точность отдельного измерения.</w:t>
      </w:r>
    </w:p>
    <w:p>
      <w:pPr>
        <w:pStyle w:val="BodyText"/>
      </w:pPr>
      <w:r>
        <w:rPr>
          <w:rFonts w:ascii="Times New Roman" w:hAnsi="Times New Roman" w:eastAsia="Times New Roman"/>
          <w:sz w:val="28"/>
        </w:rPr>
        <w:t xml:space="preserve">Blohm и соавт. (2014) обследовали 72 пациента отделения детской реанимации. В общей выборке MPE составляла 26,16 %, а у недоношенных — 46,27 %. Согласие различалось в зависимости от массы тела и режима вентиляции. У 36 недоношенных с открытым артериальным протоком Hsu и соавт. (2017) получили MPE 28,6 %. Авторы указали на необходимость осторожной интерпретации результатов при высоком CO и высокочастотной вентиляции. Эти данные показывают, что оценка точности зависит от состава неонатальной выборки и диапазона измеряемых значений.</w:t>
      </w:r>
    </w:p>
    <w:p>
      <w:pPr>
        <w:pStyle w:val="BodyText"/>
      </w:pPr>
      <w:r>
        <w:rPr>
          <w:rFonts w:ascii="Times New Roman" w:hAnsi="Times New Roman" w:eastAsia="Times New Roman"/>
          <w:sz w:val="28"/>
        </w:rPr>
        <w:t xml:space="preserve">Различия, связанные с анатомией сердца и сосудов, выявлены у детей после коррекции коарктации аорты. Altamirano-Diaz и соавт. (2018) получили MPE 28,1 % в контрольной группе и 44,2 % в объединенной выборке. Исключение измерений с высокой скоростью потока в выходном тракте левого желудочка изменяло результат сравнения; часть расхождения могла быть связана с погрешностью эхокардиографического референтного метода. В исследованиях Norozi и соавт. (2008), Tomaske и соавт. (2008), Grollmuss и соавт. (2012), Boet и соавт. (2016), Narula и соавт. (2017) рассмотрены другие педиатрические группы. Объединять их результаты в одну оценку без учета возраста, массы тела, порока сердца и референтного метода нельзя.</w:t>
      </w:r>
    </w:p>
    <w:p>
      <w:pPr>
        <w:pStyle w:val="BodyText"/>
      </w:pPr>
      <w:r>
        <w:rPr>
          <w:rFonts w:ascii="Times New Roman" w:hAnsi="Times New Roman" w:eastAsia="Times New Roman"/>
          <w:sz w:val="28"/>
        </w:rPr>
        <w:t xml:space="preserve">Педиатрические исследования не дают единой оценки точности электрической кардиометрии. В отдельных стабильных группах получено приемлемое согласие, но эти результаты нельзя переносить на всех детей и новорожденных. Каждая клиническая группа требует отдельной валидации.</w:t>
      </w:r>
    </w:p>
    <w:bookmarkEnd w:id="23"/>
    <w:bookmarkStart w:id="26" w:name="X9456167055947cae5fcf5e1e4e11542e05ea2f8"/>
    <w:p>
      <w:pPr>
        <w:pStyle w:val="Heading2"/>
        <w:ind w:firstLine="0"/>
      </w:pPr>
      <w:r>
        <w:rPr>
          <w:rFonts w:ascii="Times New Roman" w:hAnsi="Times New Roman" w:eastAsia="Times New Roman"/>
          <w:sz w:val="28"/>
        </w:rPr>
        <w:t xml:space="preserve">7. ИКГ и оценка систолической функции левого желудочка</w:t>
      </w:r>
    </w:p>
    <w:bookmarkStart w:id="24" w:name="прямой-расчет-фракции-выброса"/>
    <w:p>
      <w:pPr>
        <w:pStyle w:val="Heading3"/>
        <w:ind w:firstLine="0"/>
      </w:pPr>
      <w:r>
        <w:rPr>
          <w:rFonts w:ascii="Times New Roman" w:hAnsi="Times New Roman" w:eastAsia="Times New Roman"/>
          <w:sz w:val="28"/>
        </w:rPr>
        <w:t xml:space="preserve">7.1. Прямой расчет фракции выброса</w:t>
      </w:r>
    </w:p>
    <w:p>
      <w:pPr>
        <w:pStyle w:val="FirstParagraph"/>
      </w:pPr>
      <w:r>
        <w:rPr>
          <w:rFonts w:ascii="Times New Roman" w:hAnsi="Times New Roman" w:eastAsia="Times New Roman"/>
          <w:sz w:val="28"/>
        </w:rPr>
        <w:t xml:space="preserve">Фракция выброса определяется как отношение ударного объема к конечному диастолическому объему. ИКГ не измеряет объем полости желудочка непосредственно. Поэтому расчет LVEF по импедансному сигналу возможен только при дополнительных модельных допущениях о связи электрических признаков с функцией желудочка.</w:t>
      </w:r>
    </w:p>
    <w:p>
      <w:pPr>
        <w:pStyle w:val="BodyText"/>
      </w:pPr>
      <w:r>
        <w:rPr>
          <w:rFonts w:ascii="Times New Roman" w:hAnsi="Times New Roman" w:eastAsia="Times New Roman"/>
          <w:sz w:val="28"/>
        </w:rPr>
        <w:t xml:space="preserve">В работе Miles и соавт. (1990), включавшей здоровых участников и 95 пациентов, коэффициенты корреляции между LVEF, рассчитанной по ИКГ, и радионуклидной LVEF находились в диапазоне от −0,17 до 0,16. Радионуклидная LVEF была связана с нарушениями движения стенки (</w:t>
      </w:r>
      <w:r>
        <w:rPr>
          <w:rStyle w:val="VerbatimChar"/>
          <w:rFonts w:ascii="Times New Roman" w:hAnsi="Times New Roman" w:eastAsia="Times New Roman"/>
          <w:sz w:val="28"/>
        </w:rPr>
        <w:t xml:space="preserve">r = 0,84</w:t>
      </w:r>
      <w:r>
        <w:rPr>
          <w:rFonts w:ascii="Times New Roman" w:hAnsi="Times New Roman" w:eastAsia="Times New Roman"/>
          <w:sz w:val="28"/>
        </w:rPr>
        <w:t xml:space="preserve">), тогда как LVEF, рассчитанная по ИКГ, такой связи не показала. Авторы не рекомендовали ИКГ для клинического определения LVEF. В исследовании Bowling и соавт. (1993) у 20 взрослых значение</w:t>
      </w:r>
      <w:r>
        <w:rPr>
          <w:rFonts w:ascii="Times New Roman" w:hAnsi="Times New Roman" w:eastAsia="Times New Roman"/>
          <w:sz w:val="28"/>
        </w:rPr>
        <w:t xml:space="preserve"> </w:t>
      </w:r>
      <w:r>
        <w:rPr>
          <w:rStyle w:val="VerbatimChar"/>
          <w:rFonts w:ascii="Times New Roman" w:hAnsi="Times New Roman" w:eastAsia="Times New Roman"/>
          <w:sz w:val="28"/>
        </w:rPr>
        <w:t xml:space="preserve">r²</w:t>
      </w:r>
      <w:r>
        <w:rPr>
          <w:rFonts w:ascii="Times New Roman" w:hAnsi="Times New Roman" w:eastAsia="Times New Roman"/>
          <w:sz w:val="28"/>
        </w:rPr>
        <w:t xml:space="preserve"> </w:t>
      </w:r>
      <w:r>
        <w:rPr>
          <w:rFonts w:ascii="Times New Roman" w:hAnsi="Times New Roman" w:eastAsia="Times New Roman"/>
          <w:sz w:val="28"/>
        </w:rPr>
        <w:t xml:space="preserve">составляло 0,55, но среднее смещение достигало −8,85 процентного пункта, а пределы согласия — приблизительно от −23,2 до 5,5 процентного пункта. Полученные данные не подтвердили взаимозаменяемость методов.</w:t>
      </w:r>
    </w:p>
    <w:p>
      <w:pPr>
        <w:pStyle w:val="BodyText"/>
      </w:pPr>
      <w:r>
        <w:rPr>
          <w:rFonts w:ascii="Times New Roman" w:hAnsi="Times New Roman" w:eastAsia="Times New Roman"/>
          <w:sz w:val="28"/>
        </w:rPr>
        <w:t xml:space="preserve">Результат зависел от используемой формулы. В исследовании van der Meer и соавт. (1996), включавшем 24 пациента, коэффициент корреляции составлял</w:t>
      </w:r>
      <w:r>
        <w:rPr>
          <w:rFonts w:ascii="Times New Roman" w:hAnsi="Times New Roman" w:eastAsia="Times New Roman"/>
          <w:sz w:val="28"/>
        </w:rPr>
        <w:t xml:space="preserve"> </w:t>
      </w:r>
      <w:r>
        <w:rPr>
          <w:rStyle w:val="VerbatimChar"/>
          <w:rFonts w:ascii="Times New Roman" w:hAnsi="Times New Roman" w:eastAsia="Times New Roman"/>
          <w:sz w:val="28"/>
        </w:rPr>
        <w:t xml:space="preserve">r = 0,29</w:t>
      </w:r>
      <w:r>
        <w:rPr>
          <w:rFonts w:ascii="Times New Roman" w:hAnsi="Times New Roman" w:eastAsia="Times New Roman"/>
          <w:sz w:val="28"/>
        </w:rPr>
        <w:t xml:space="preserve"> </w:t>
      </w:r>
      <w:r>
        <w:rPr>
          <w:rFonts w:ascii="Times New Roman" w:hAnsi="Times New Roman" w:eastAsia="Times New Roman"/>
          <w:sz w:val="28"/>
        </w:rPr>
        <w:t xml:space="preserve">для одной ранней формулы,</w:t>
      </w:r>
      <w:r>
        <w:rPr>
          <w:rFonts w:ascii="Times New Roman" w:hAnsi="Times New Roman" w:eastAsia="Times New Roman"/>
          <w:sz w:val="28"/>
        </w:rPr>
        <w:t xml:space="preserve"> </w:t>
      </w:r>
      <w:r>
        <w:rPr>
          <w:rStyle w:val="VerbatimChar"/>
          <w:rFonts w:ascii="Times New Roman" w:hAnsi="Times New Roman" w:eastAsia="Times New Roman"/>
          <w:sz w:val="28"/>
        </w:rPr>
        <w:t xml:space="preserve">r = 0,55</w:t>
      </w:r>
      <w:r>
        <w:rPr>
          <w:rFonts w:ascii="Times New Roman" w:hAnsi="Times New Roman" w:eastAsia="Times New Roman"/>
          <w:sz w:val="28"/>
        </w:rPr>
        <w:t xml:space="preserve"> </w:t>
      </w:r>
      <w:r>
        <w:rPr>
          <w:rFonts w:ascii="Times New Roman" w:hAnsi="Times New Roman" w:eastAsia="Times New Roman"/>
          <w:sz w:val="28"/>
        </w:rPr>
        <w:t xml:space="preserve">для другой и</w:t>
      </w:r>
      <w:r>
        <w:rPr>
          <w:rFonts w:ascii="Times New Roman" w:hAnsi="Times New Roman" w:eastAsia="Times New Roman"/>
          <w:sz w:val="28"/>
        </w:rPr>
        <w:t xml:space="preserve"> </w:t>
      </w:r>
      <w:r>
        <w:rPr>
          <w:rStyle w:val="VerbatimChar"/>
          <w:rFonts w:ascii="Times New Roman" w:hAnsi="Times New Roman" w:eastAsia="Times New Roman"/>
          <w:sz w:val="28"/>
        </w:rPr>
        <w:t xml:space="preserve">r = 0,75</w:t>
      </w:r>
      <w:r>
        <w:rPr>
          <w:rFonts w:ascii="Times New Roman" w:hAnsi="Times New Roman" w:eastAsia="Times New Roman"/>
          <w:sz w:val="28"/>
        </w:rPr>
        <w:t xml:space="preserve"> </w:t>
      </w:r>
      <w:r>
        <w:rPr>
          <w:rFonts w:ascii="Times New Roman" w:hAnsi="Times New Roman" w:eastAsia="Times New Roman"/>
          <w:sz w:val="28"/>
        </w:rPr>
        <w:t xml:space="preserve">для нового уравнения. Более высокая корреляция нового уравнения не заменяет анализа согласия. В критическом обзоре Fuller (1994) отношение</w:t>
      </w:r>
      <w:r>
        <w:rPr>
          <w:rFonts w:ascii="Times New Roman" w:hAnsi="Times New Roman" w:eastAsia="Times New Roman"/>
          <w:sz w:val="28"/>
        </w:rPr>
        <w:t xml:space="preserve"> </w:t>
      </w:r>
      <w:r>
        <w:rPr>
          <w:rStyle w:val="VerbatimChar"/>
          <w:rFonts w:ascii="Times New Roman" w:hAnsi="Times New Roman" w:eastAsia="Times New Roman"/>
          <w:sz w:val="28"/>
        </w:rPr>
        <w:t xml:space="preserve">C/Tz</w:t>
      </w:r>
      <w:r>
        <w:rPr>
          <w:rFonts w:ascii="Times New Roman" w:hAnsi="Times New Roman" w:eastAsia="Times New Roman"/>
          <w:sz w:val="28"/>
        </w:rPr>
        <w:t xml:space="preserve"> </w:t>
      </w:r>
      <w:r>
        <w:rPr>
          <w:rFonts w:ascii="Times New Roman" w:hAnsi="Times New Roman" w:eastAsia="Times New Roman"/>
          <w:sz w:val="28"/>
        </w:rPr>
        <w:t xml:space="preserve">не получило устойчивого теоретического и эмпирического подтверждения как показатель LVEF.</w:t>
      </w:r>
    </w:p>
    <w:p>
      <w:pPr>
        <w:pStyle w:val="BodyText"/>
      </w:pPr>
      <w:r>
        <w:rPr>
          <w:rFonts w:ascii="Times New Roman" w:hAnsi="Times New Roman" w:eastAsia="Times New Roman"/>
          <w:sz w:val="28"/>
        </w:rPr>
        <w:t xml:space="preserve">Следовательно, значение LVEF, вычисленное только по раннему одноканальному импедансному сигналу, нельзя считать эквивалентным результату визуализирующего метода. Этот вывод не означает отсутствия в сигнале информации о систоле, но показывает ограниченность прямого пересчета электрического сигнала в объемный показатель.</w:t>
      </w:r>
    </w:p>
    <w:bookmarkEnd w:id="24"/>
    <w:bookmarkStart w:id="25" w:name="Xc5cd15d35b589604d94f61d6e42c153d41ef185"/>
    <w:p>
      <w:pPr>
        <w:pStyle w:val="Heading3"/>
        <w:ind w:firstLine="0"/>
      </w:pPr>
      <w:r>
        <w:rPr>
          <w:rFonts w:ascii="Times New Roman" w:hAnsi="Times New Roman" w:eastAsia="Times New Roman"/>
          <w:sz w:val="28"/>
        </w:rPr>
        <w:t xml:space="preserve">7.2. Временные индексы как суррогатные признаки</w:t>
      </w:r>
    </w:p>
    <w:p>
      <w:pPr>
        <w:pStyle w:val="FirstParagraph"/>
      </w:pPr>
      <w:r>
        <w:rPr>
          <w:rFonts w:ascii="Times New Roman" w:hAnsi="Times New Roman" w:eastAsia="Times New Roman"/>
          <w:sz w:val="28"/>
        </w:rPr>
        <w:t xml:space="preserve">По сигналу ИКГ определяют предизгнательный период (PEP), время изгнания левого желудочка (LVET) и отношение систолических интервалов (STR). Эти показатели характеризуют продолжительность фаз систолы, но не измеряют объем желудочка.</w:t>
      </w:r>
    </w:p>
    <w:p>
      <w:pPr>
        <w:pStyle w:val="BodyText"/>
      </w:pPr>
      <w:r>
        <w:rPr>
          <w:rFonts w:ascii="Times New Roman" w:hAnsi="Times New Roman" w:eastAsia="Times New Roman"/>
          <w:sz w:val="28"/>
        </w:rPr>
        <w:t xml:space="preserve">В ретроспективном исследовании 13 пациентов с сердечной недостаточностью изменения сердечного индекса и STR коррелировали с изменениями LVEF (</w:t>
      </w:r>
      <w:r>
        <w:rPr>
          <w:rStyle w:val="VerbatimChar"/>
          <w:rFonts w:ascii="Times New Roman" w:hAnsi="Times New Roman" w:eastAsia="Times New Roman"/>
          <w:sz w:val="28"/>
        </w:rPr>
        <w:t xml:space="preserve">r = 0,85</w:t>
      </w:r>
      <w:r>
        <w:rPr>
          <w:rFonts w:ascii="Times New Roman" w:hAnsi="Times New Roman" w:eastAsia="Times New Roman"/>
          <w:sz w:val="28"/>
        </w:rPr>
        <w:t xml:space="preserve"> </w:t>
      </w:r>
      <w:r>
        <w:rPr>
          <w:rFonts w:ascii="Times New Roman" w:hAnsi="Times New Roman" w:eastAsia="Times New Roman"/>
          <w:sz w:val="28"/>
        </w:rPr>
        <w:t xml:space="preserve">и</w:t>
      </w:r>
      <w:r>
        <w:rPr>
          <w:rFonts w:ascii="Times New Roman" w:hAnsi="Times New Roman" w:eastAsia="Times New Roman"/>
          <w:sz w:val="28"/>
        </w:rPr>
        <w:t xml:space="preserve"> </w:t>
      </w:r>
      <w:r>
        <w:rPr>
          <w:rStyle w:val="VerbatimChar"/>
          <w:rFonts w:ascii="Times New Roman" w:hAnsi="Times New Roman" w:eastAsia="Times New Roman"/>
          <w:sz w:val="28"/>
        </w:rPr>
        <w:t xml:space="preserve">r = −0,73</w:t>
      </w:r>
      <w:r>
        <w:rPr>
          <w:rFonts w:ascii="Times New Roman" w:hAnsi="Times New Roman" w:eastAsia="Times New Roman"/>
          <w:sz w:val="28"/>
        </w:rPr>
        <w:t xml:space="preserve"> </w:t>
      </w:r>
      <w:r>
        <w:rPr>
          <w:rFonts w:ascii="Times New Roman" w:hAnsi="Times New Roman" w:eastAsia="Times New Roman"/>
          <w:sz w:val="28"/>
        </w:rPr>
        <w:t xml:space="preserve">соответственно). Вывод ограничен малой выборкой и интервалами между обследованиями (Parrott и соавт., 2004). У 52 пациентов Thompson и соавт. (2008) получили корреляцию STR с LVEF</w:t>
      </w:r>
      <w:r>
        <w:rPr>
          <w:rFonts w:ascii="Times New Roman" w:hAnsi="Times New Roman" w:eastAsia="Times New Roman"/>
          <w:sz w:val="28"/>
        </w:rPr>
        <w:t xml:space="preserve"> </w:t>
      </w:r>
      <w:r>
        <w:rPr>
          <w:rStyle w:val="VerbatimChar"/>
          <w:rFonts w:ascii="Times New Roman" w:hAnsi="Times New Roman" w:eastAsia="Times New Roman"/>
          <w:sz w:val="28"/>
        </w:rPr>
        <w:t xml:space="preserve">r = −0,54</w:t>
      </w:r>
      <w:r>
        <w:rPr>
          <w:rFonts w:ascii="Times New Roman" w:hAnsi="Times New Roman" w:eastAsia="Times New Roman"/>
          <w:sz w:val="28"/>
        </w:rPr>
        <w:t xml:space="preserve">. Площадь под ROC-кривой составила 0,86, а выбранный порог обеспечивал чувствительность 93 % и специфичность 85 %. Поскольку порог определен ретроспективно, его применимость за пределами этой выборки не установлена. Kaszuba и соавт. (2013) обнаружили связь PEP, LVET и STR с LVEF у 36 амбулаторных пациентов, но пришли к выводу о недостаточности данных для клинического применения.</w:t>
      </w:r>
    </w:p>
    <w:p>
      <w:pPr>
        <w:pStyle w:val="BodyText"/>
      </w:pPr>
      <w:r>
        <w:rPr>
          <w:rFonts w:ascii="Times New Roman" w:hAnsi="Times New Roman" w:eastAsia="Times New Roman"/>
          <w:sz w:val="28"/>
        </w:rPr>
        <w:t xml:space="preserve">Таким образом, временные показатели могут служить косвенными признаками сниженной систолической функции при предварительной оценке или наблюдении в динамике, но не заменяют измерения LVEF. Имеющиеся данные позволяют использовать их только как компоненты многопараметрической оценки, а не как прямую оценку объема желудочка.</w:t>
      </w:r>
    </w:p>
    <w:bookmarkEnd w:id="25"/>
    <w:bookmarkEnd w:id="26"/>
    <w:bookmarkStart w:id="29" w:name="синтез-результатов"/>
    <w:p>
      <w:pPr>
        <w:pStyle w:val="Heading2"/>
        <w:ind w:firstLine="0"/>
      </w:pPr>
      <w:r>
        <w:rPr>
          <w:rFonts w:ascii="Times New Roman" w:hAnsi="Times New Roman" w:eastAsia="Times New Roman"/>
          <w:sz w:val="28"/>
        </w:rPr>
        <w:t xml:space="preserve">8. Синтез результатов</w:t>
      </w:r>
    </w:p>
    <w:bookmarkStart w:id="27" w:name="согласующиеся-результаты"/>
    <w:p>
      <w:pPr>
        <w:pStyle w:val="Heading3"/>
        <w:ind w:firstLine="0"/>
      </w:pPr>
      <w:r>
        <w:rPr>
          <w:rFonts w:ascii="Times New Roman" w:hAnsi="Times New Roman" w:eastAsia="Times New Roman"/>
          <w:sz w:val="28"/>
        </w:rPr>
        <w:t xml:space="preserve">8.1. Согласующиеся результаты</w:t>
      </w:r>
    </w:p>
    <w:p>
      <w:pPr>
        <w:pStyle w:val="FirstParagraph"/>
      </w:pPr>
      <w:r>
        <w:rPr>
          <w:rFonts w:ascii="Times New Roman" w:hAnsi="Times New Roman" w:eastAsia="Times New Roman"/>
          <w:sz w:val="28"/>
        </w:rPr>
        <w:t xml:space="preserve">Сопоставление публикаций позволяет выделить пять повторяющихся выводов.</w:t>
      </w:r>
    </w:p>
    <w:p>
      <w:pPr>
        <w:pStyle w:val="BodyText"/>
      </w:pPr>
      <w:r>
        <w:rPr>
          <w:rFonts w:ascii="Times New Roman" w:hAnsi="Times New Roman" w:eastAsia="Times New Roman"/>
          <w:sz w:val="28"/>
        </w:rPr>
        <w:t xml:space="preserve">Во-первых, меньшая инвазивность имеет клиническое значение только при точности, подтвержденной в предполагаемых условиях применения. Этот вывод согласуется с клиническими рекомендациями, обзорами методов и результатами валидационных исследований (Cecconi и соавт., 2014; Bein и Renner, 2019; de Keijzer и Scheeren, 2021; Monnet и соавт., 2025).</w:t>
      </w:r>
    </w:p>
    <w:p>
      <w:pPr>
        <w:pStyle w:val="BodyText"/>
      </w:pPr>
      <w:r>
        <w:rPr>
          <w:rFonts w:ascii="Times New Roman" w:hAnsi="Times New Roman" w:eastAsia="Times New Roman"/>
          <w:sz w:val="28"/>
        </w:rPr>
        <w:t xml:space="preserve">Во-вторых, сигнал ИКГ содержит изменения, синхронизированные с фазами сердечного цикла, но расчет абсолютного SV зависит от геометрической и физиологической модели (Kubicek и соавт., 1966; Bernstein, 1986; Bernstein и Lemmens, 2005; Cotter и соавт., 2006). Поэтому расчетное уравнение является частью измерительного метода и должно указываться вместе с моделью прибора и версией программного обеспечения.</w:t>
      </w:r>
    </w:p>
    <w:p>
      <w:pPr>
        <w:pStyle w:val="BodyText"/>
      </w:pPr>
      <w:r>
        <w:rPr>
          <w:rFonts w:ascii="Times New Roman" w:hAnsi="Times New Roman" w:eastAsia="Times New Roman"/>
          <w:sz w:val="28"/>
        </w:rPr>
        <w:t xml:space="preserve">В-третьих, среднее смещение не может служить единственным критерием точности. В метаанализах и отдельных исследованиях малое сводное смещение сочеталось с широкими пределами согласия и высокой MPE (Critchley и Critchley, 1999; Sanders и соавт., 2019).</w:t>
      </w:r>
    </w:p>
    <w:p>
      <w:pPr>
        <w:pStyle w:val="BodyText"/>
      </w:pPr>
      <w:r>
        <w:rPr>
          <w:rFonts w:ascii="Times New Roman" w:hAnsi="Times New Roman" w:eastAsia="Times New Roman"/>
          <w:sz w:val="28"/>
        </w:rPr>
        <w:t xml:space="preserve">В-четвертых, результаты не подтверждают возможность замены термодилюции или эхокардиографии электрической кардиометрией при определении абсолютного CO во всех клинических группах. Этот вывод следует из метаанализа Sanders и соавт. (2019), а также из кардиохирургических исследований Cox и соавт. (2017) и Greiwe и соавт. (2024).</w:t>
      </w:r>
    </w:p>
    <w:p>
      <w:pPr>
        <w:pStyle w:val="BodyText"/>
      </w:pPr>
      <w:r>
        <w:rPr>
          <w:rFonts w:ascii="Times New Roman" w:hAnsi="Times New Roman" w:eastAsia="Times New Roman"/>
          <w:sz w:val="28"/>
        </w:rPr>
        <w:t xml:space="preserve">В-пятых, временные показатели ИКГ были связаны с LVEF в нескольких исследованиях, тогда как ранние способы ее прямого расчета не обеспечивали приемлемого согласия с радионуклидными методами. Однако данные о временных показателях получены преимущественно в ретроспективных исследованиях на малых выборках.</w:t>
      </w:r>
    </w:p>
    <w:bookmarkEnd w:id="27"/>
    <w:bookmarkStart w:id="28" w:name="Xb607748cc5f0df7e7e62cd9a3db8433ebdca7db"/>
    <w:p>
      <w:pPr>
        <w:pStyle w:val="Heading3"/>
        <w:ind w:firstLine="0"/>
      </w:pPr>
      <w:r>
        <w:rPr>
          <w:rFonts w:ascii="Times New Roman" w:hAnsi="Times New Roman" w:eastAsia="Times New Roman"/>
          <w:sz w:val="28"/>
        </w:rPr>
        <w:t xml:space="preserve">8.2. Противоречия и неоднородность результатов</w:t>
      </w:r>
    </w:p>
    <w:p>
      <w:pPr>
        <w:pStyle w:val="FirstParagraph"/>
      </w:pPr>
      <w:r>
        <w:rPr>
          <w:rFonts w:ascii="Times New Roman" w:hAnsi="Times New Roman" w:eastAsia="Times New Roman"/>
          <w:sz w:val="28"/>
        </w:rPr>
        <w:t xml:space="preserve">Исследования расходятся прежде всего в оценке величины ошибки. У критически больных пациентов Zoremba и соавт. (2007) получили MPE около 26 %, тогда как в кардиохирургических исследованиях Cox и соавт. (2017) и Greiwe и соавт. (2024) ошибка была неприемлемо высокой, а способность отражать изменения — низкой. В исследовании Feng и Liu (2020) у женщин при кесаревом сечении согласие абсолютных значений было недостаточным, но направление изменений воспроизводилось умеренно. В отдельных педиатрических выборках MPE приближалась к 30 %, а у недоношенных детей или пациентов с измененной анатомией достигала 44–46 %.</w:t>
      </w:r>
    </w:p>
    <w:p>
      <w:pPr>
        <w:pStyle w:val="BodyText"/>
      </w:pPr>
      <w:r>
        <w:rPr>
          <w:rFonts w:ascii="Times New Roman" w:hAnsi="Times New Roman" w:eastAsia="Times New Roman"/>
          <w:sz w:val="28"/>
        </w:rPr>
        <w:t xml:space="preserve">Эти различия нельзя объяснить одним фактором. В публикациях прямо или косвенно отражены следующие возможные источники неоднородности:</w:t>
      </w:r>
    </w:p>
    <w:p>
      <w:pPr>
        <w:pStyle w:val="Compact"/>
        <w:numPr>
          <w:ilvl w:val="0"/>
          <w:numId w:val="1001"/>
        </w:numPr>
      </w:pPr>
      <w:r>
        <w:rPr>
          <w:rFonts w:ascii="Times New Roman" w:hAnsi="Times New Roman" w:eastAsia="Times New Roman"/>
          <w:sz w:val="28"/>
        </w:rPr>
        <w:t xml:space="preserve">возраст, масса тела и геометрия грудной клетки;</w:t>
      </w:r>
    </w:p>
    <w:p>
      <w:pPr>
        <w:pStyle w:val="Compact"/>
        <w:numPr>
          <w:ilvl w:val="0"/>
          <w:numId w:val="1001"/>
        </w:numPr>
      </w:pPr>
      <w:r>
        <w:rPr>
          <w:rFonts w:ascii="Times New Roman" w:hAnsi="Times New Roman" w:eastAsia="Times New Roman"/>
          <w:sz w:val="28"/>
        </w:rPr>
        <w:t xml:space="preserve">врожденные и приобретенные изменения анатомии сердца и крупных сосудов;</w:t>
      </w:r>
    </w:p>
    <w:p>
      <w:pPr>
        <w:pStyle w:val="Compact"/>
        <w:numPr>
          <w:ilvl w:val="0"/>
          <w:numId w:val="1001"/>
        </w:numPr>
      </w:pPr>
      <w:r>
        <w:rPr>
          <w:rFonts w:ascii="Times New Roman" w:hAnsi="Times New Roman" w:eastAsia="Times New Roman"/>
          <w:sz w:val="28"/>
        </w:rPr>
        <w:t xml:space="preserve">водный баланс, легочная патология и механическая вентиляция;</w:t>
      </w:r>
    </w:p>
    <w:p>
      <w:pPr>
        <w:pStyle w:val="Compact"/>
        <w:numPr>
          <w:ilvl w:val="0"/>
          <w:numId w:val="1001"/>
        </w:numPr>
      </w:pPr>
      <w:r>
        <w:rPr>
          <w:rFonts w:ascii="Times New Roman" w:hAnsi="Times New Roman" w:eastAsia="Times New Roman"/>
          <w:sz w:val="28"/>
        </w:rPr>
        <w:t xml:space="preserve">диапазон CO и скорость изменения показателя;</w:t>
      </w:r>
    </w:p>
    <w:p>
      <w:pPr>
        <w:pStyle w:val="Compact"/>
        <w:numPr>
          <w:ilvl w:val="0"/>
          <w:numId w:val="1001"/>
        </w:numPr>
      </w:pPr>
      <w:r>
        <w:rPr>
          <w:rFonts w:ascii="Times New Roman" w:hAnsi="Times New Roman" w:eastAsia="Times New Roman"/>
          <w:sz w:val="28"/>
        </w:rPr>
        <w:t xml:space="preserve">положение и схема электродов;</w:t>
      </w:r>
    </w:p>
    <w:p>
      <w:pPr>
        <w:pStyle w:val="Compact"/>
        <w:numPr>
          <w:ilvl w:val="0"/>
          <w:numId w:val="1001"/>
        </w:numPr>
      </w:pPr>
      <w:r>
        <w:rPr>
          <w:rFonts w:ascii="Times New Roman" w:hAnsi="Times New Roman" w:eastAsia="Times New Roman"/>
          <w:sz w:val="28"/>
        </w:rPr>
        <w:t xml:space="preserve">алгоритм обнаружения фаз и расчетное уравнение;</w:t>
      </w:r>
    </w:p>
    <w:p>
      <w:pPr>
        <w:pStyle w:val="Compact"/>
        <w:numPr>
          <w:ilvl w:val="0"/>
          <w:numId w:val="1001"/>
        </w:numPr>
      </w:pPr>
      <w:r>
        <w:rPr>
          <w:rFonts w:ascii="Times New Roman" w:hAnsi="Times New Roman" w:eastAsia="Times New Roman"/>
          <w:sz w:val="28"/>
        </w:rPr>
        <w:t xml:space="preserve">точность референтного метода;</w:t>
      </w:r>
    </w:p>
    <w:p>
      <w:pPr>
        <w:pStyle w:val="Compact"/>
        <w:numPr>
          <w:ilvl w:val="0"/>
          <w:numId w:val="1001"/>
        </w:numPr>
      </w:pPr>
      <w:r>
        <w:rPr>
          <w:rFonts w:ascii="Times New Roman" w:hAnsi="Times New Roman" w:eastAsia="Times New Roman"/>
          <w:sz w:val="28"/>
        </w:rPr>
        <w:t xml:space="preserve">количество повторных измерений и способ их статистического учета.</w:t>
      </w:r>
    </w:p>
    <w:p>
      <w:pPr>
        <w:pStyle w:val="FirstParagraph"/>
      </w:pPr>
      <w:r>
        <w:rPr>
          <w:rFonts w:ascii="Times New Roman" w:hAnsi="Times New Roman" w:eastAsia="Times New Roman"/>
          <w:sz w:val="28"/>
        </w:rPr>
        <w:t xml:space="preserve">Поэтому вывод о точности и применимости ИКГ должен содержать указание на устройство, расчетный алгоритм, клиническую группу, референтный метод и задачу измерения.</w:t>
      </w:r>
    </w:p>
    <w:bookmarkEnd w:id="28"/>
    <w:bookmarkEnd w:id="29"/>
    <w:bookmarkStart w:id="30" w:name="Xd82b79869c4d7207a2d00ae39b4a82d722e6860"/>
    <w:p>
      <w:pPr>
        <w:pStyle w:val="Heading2"/>
        <w:ind w:firstLine="0"/>
      </w:pPr>
      <w:r>
        <w:rPr>
          <w:rFonts w:ascii="Times New Roman" w:hAnsi="Times New Roman" w:eastAsia="Times New Roman"/>
          <w:sz w:val="28"/>
        </w:rPr>
        <w:t xml:space="preserve">9. Место прекардиального электроимпедансного картирования</w:t>
      </w:r>
    </w:p>
    <w:p>
      <w:pPr>
        <w:pStyle w:val="FirstParagraph"/>
      </w:pPr>
      <w:r>
        <w:rPr>
          <w:rFonts w:ascii="Times New Roman" w:hAnsi="Times New Roman" w:eastAsia="Times New Roman"/>
          <w:sz w:val="28"/>
        </w:rPr>
        <w:t xml:space="preserve">Тема индивидуального плана сформулирована как «Биотехническая система оценки гемодинамики сердца методом прекардиального электроимпедансного картирования». С учетом результатов обзора можно уточнить измерительную задачу такой системы.</w:t>
      </w:r>
    </w:p>
    <w:p>
      <w:pPr>
        <w:pStyle w:val="BodyText"/>
      </w:pPr>
      <w:r>
        <w:rPr>
          <w:rFonts w:ascii="Times New Roman" w:hAnsi="Times New Roman" w:eastAsia="Times New Roman"/>
          <w:sz w:val="28"/>
        </w:rPr>
        <w:t xml:space="preserve">В большинстве работ по трансторакальной ИКГ анализируется один интегральный измерительный канал. Сигнал формируется в распределенном объеме грудной клетки, а алгоритм преобразует его в одно значение SV или CO. Поэтому в одном временном ряду могут сочетаться вклады кровотока, изменений объема и электрических свойств крови, движения тканей, дыхания и контакта электродов. Изменение расчетной формулы может улучшить согласие в конкретной выборке, но не добавляет пространственной информации к исходному сигналу.</w:t>
      </w:r>
    </w:p>
    <w:p>
      <w:pPr>
        <w:pStyle w:val="BodyText"/>
      </w:pPr>
      <w:r>
        <w:rPr>
          <w:rFonts w:ascii="Times New Roman" w:hAnsi="Times New Roman" w:eastAsia="Times New Roman"/>
          <w:sz w:val="28"/>
        </w:rPr>
        <w:t xml:space="preserve">При многоканальном прекардиальном картировании одновременно регистрируют сигналы из нескольких областей грудной клетки. Это дает возможность исследовать воспроизводимость пространственных признаков сердечного цикла и оценить, можно ли отделить сердечные изменения от общегрудных и дыхательных компонентов. Наличие такой дополнительной информации остается исследовательской гипотезой, а не установленным преимуществом метода.</w:t>
      </w:r>
    </w:p>
    <w:p>
      <w:pPr>
        <w:pStyle w:val="BodyText"/>
      </w:pPr>
      <w:r>
        <w:rPr>
          <w:rFonts w:ascii="Times New Roman" w:hAnsi="Times New Roman" w:eastAsia="Times New Roman"/>
          <w:sz w:val="28"/>
        </w:rPr>
        <w:t xml:space="preserve">В предоставленных публикациях не обнаружена прямая валидация многоканального прекардиального картирования для раздельной оценки вкладов камер сердца, SV или LVEF. Этот вывод относится только к заданному массиву источников и не означает отсутствия соответствующих работ в мировой литературе. Результаты обзора позволяют сформулировать требования к оценке нового подхода:</w:t>
      </w:r>
    </w:p>
    <w:p>
      <w:pPr>
        <w:pStyle w:val="Compact"/>
        <w:numPr>
          <w:ilvl w:val="0"/>
          <w:numId w:val="1002"/>
        </w:numPr>
      </w:pPr>
      <w:r>
        <w:rPr>
          <w:rFonts w:ascii="Times New Roman" w:hAnsi="Times New Roman" w:eastAsia="Times New Roman"/>
          <w:b/>
          <w:bCs/>
          <w:sz w:val="28"/>
        </w:rPr>
        <w:t xml:space="preserve">Разделение измеряемых и расчетных величин.</w:t>
      </w:r>
      <w:r>
        <w:rPr>
          <w:rFonts w:ascii="Times New Roman" w:hAnsi="Times New Roman" w:eastAsia="Times New Roman"/>
          <w:sz w:val="28"/>
        </w:rPr>
        <w:t xml:space="preserve"> </w:t>
      </w:r>
      <w:r>
        <w:rPr>
          <w:rFonts w:ascii="Times New Roman" w:hAnsi="Times New Roman" w:eastAsia="Times New Roman"/>
          <w:sz w:val="28"/>
        </w:rPr>
        <w:t xml:space="preserve">Необходимо различать исходные импедансные сигналы, рассчитанные временные и пространственные признаки и итоговые гемодинамические показатели.</w:t>
      </w:r>
    </w:p>
    <w:p>
      <w:pPr>
        <w:pStyle w:val="Compact"/>
        <w:numPr>
          <w:ilvl w:val="0"/>
          <w:numId w:val="1002"/>
        </w:numPr>
      </w:pPr>
      <w:r>
        <w:rPr>
          <w:rFonts w:ascii="Times New Roman" w:hAnsi="Times New Roman" w:eastAsia="Times New Roman"/>
          <w:b/>
          <w:bCs/>
          <w:sz w:val="28"/>
        </w:rPr>
        <w:t xml:space="preserve">Описание геометрии измерения.</w:t>
      </w:r>
      <w:r>
        <w:rPr>
          <w:rFonts w:ascii="Times New Roman" w:hAnsi="Times New Roman" w:eastAsia="Times New Roman"/>
          <w:sz w:val="28"/>
        </w:rPr>
        <w:t xml:space="preserve"> </w:t>
      </w:r>
      <w:r>
        <w:rPr>
          <w:rFonts w:ascii="Times New Roman" w:hAnsi="Times New Roman" w:eastAsia="Times New Roman"/>
          <w:sz w:val="28"/>
        </w:rPr>
        <w:t xml:space="preserve">Схема расположения электродов и модель чувствительности электрического поля должны рассматриваться как составные части метода.</w:t>
      </w:r>
    </w:p>
    <w:p>
      <w:pPr>
        <w:pStyle w:val="Compact"/>
        <w:numPr>
          <w:ilvl w:val="0"/>
          <w:numId w:val="1002"/>
        </w:numPr>
      </w:pPr>
      <w:r>
        <w:rPr>
          <w:rFonts w:ascii="Times New Roman" w:hAnsi="Times New Roman" w:eastAsia="Times New Roman"/>
          <w:b/>
          <w:bCs/>
          <w:sz w:val="28"/>
        </w:rPr>
        <w:t xml:space="preserve">Оценка воспроизводимости.</w:t>
      </w:r>
      <w:r>
        <w:rPr>
          <w:rFonts w:ascii="Times New Roman" w:hAnsi="Times New Roman" w:eastAsia="Times New Roman"/>
          <w:sz w:val="28"/>
        </w:rPr>
        <w:t xml:space="preserve"> </w:t>
      </w:r>
      <w:r>
        <w:rPr>
          <w:rFonts w:ascii="Times New Roman" w:hAnsi="Times New Roman" w:eastAsia="Times New Roman"/>
          <w:sz w:val="28"/>
        </w:rPr>
        <w:t xml:space="preserve">Перед сопоставлением с CO или LVEF необходимо оценить устойчивость сигналов и признаков при повторной регистрации.</w:t>
      </w:r>
    </w:p>
    <w:p>
      <w:pPr>
        <w:pStyle w:val="Compact"/>
        <w:numPr>
          <w:ilvl w:val="0"/>
          <w:numId w:val="1002"/>
        </w:numPr>
      </w:pPr>
      <w:r>
        <w:rPr>
          <w:rFonts w:ascii="Times New Roman" w:hAnsi="Times New Roman" w:eastAsia="Times New Roman"/>
          <w:b/>
          <w:bCs/>
          <w:sz w:val="28"/>
        </w:rPr>
        <w:t xml:space="preserve">Сравнение с независимым методом.</w:t>
      </w:r>
      <w:r>
        <w:rPr>
          <w:rFonts w:ascii="Times New Roman" w:hAnsi="Times New Roman" w:eastAsia="Times New Roman"/>
          <w:sz w:val="28"/>
        </w:rPr>
        <w:t xml:space="preserve"> </w:t>
      </w:r>
      <w:r>
        <w:rPr>
          <w:rFonts w:ascii="Times New Roman" w:hAnsi="Times New Roman" w:eastAsia="Times New Roman"/>
          <w:sz w:val="28"/>
        </w:rPr>
        <w:t xml:space="preserve">Помимо корреляции необходимо оценивать согласие абсолютных значений и способность отражать изменения.</w:t>
      </w:r>
    </w:p>
    <w:p>
      <w:pPr>
        <w:pStyle w:val="Compact"/>
        <w:numPr>
          <w:ilvl w:val="0"/>
          <w:numId w:val="1002"/>
        </w:numPr>
      </w:pPr>
      <w:r>
        <w:rPr>
          <w:rFonts w:ascii="Times New Roman" w:hAnsi="Times New Roman" w:eastAsia="Times New Roman"/>
          <w:b/>
          <w:bCs/>
          <w:sz w:val="28"/>
        </w:rPr>
        <w:t xml:space="preserve">Раздельный анализ условий.</w:t>
      </w:r>
      <w:r>
        <w:rPr>
          <w:rFonts w:ascii="Times New Roman" w:hAnsi="Times New Roman" w:eastAsia="Times New Roman"/>
          <w:sz w:val="28"/>
        </w:rPr>
        <w:t xml:space="preserve"> </w:t>
      </w:r>
      <w:r>
        <w:rPr>
          <w:rFonts w:ascii="Times New Roman" w:hAnsi="Times New Roman" w:eastAsia="Times New Roman"/>
          <w:sz w:val="28"/>
        </w:rPr>
        <w:t xml:space="preserve">Необходимо учитывать дыхание, положение тела, антропометрические характеристики, сердечный ритм и клиническую группу.</w:t>
      </w:r>
    </w:p>
    <w:p>
      <w:pPr>
        <w:pStyle w:val="Compact"/>
        <w:numPr>
          <w:ilvl w:val="0"/>
          <w:numId w:val="1002"/>
        </w:numPr>
      </w:pPr>
      <w:r>
        <w:rPr>
          <w:rFonts w:ascii="Times New Roman" w:hAnsi="Times New Roman" w:eastAsia="Times New Roman"/>
          <w:b/>
          <w:bCs/>
          <w:sz w:val="28"/>
        </w:rPr>
        <w:t xml:space="preserve">Ограничение интерпретации.</w:t>
      </w:r>
      <w:r>
        <w:rPr>
          <w:rFonts w:ascii="Times New Roman" w:hAnsi="Times New Roman" w:eastAsia="Times New Roman"/>
          <w:sz w:val="28"/>
        </w:rPr>
        <w:t xml:space="preserve"> </w:t>
      </w:r>
      <w:r>
        <w:rPr>
          <w:rFonts w:ascii="Times New Roman" w:hAnsi="Times New Roman" w:eastAsia="Times New Roman"/>
          <w:sz w:val="28"/>
        </w:rPr>
        <w:t xml:space="preserve">Пространственное совпадение области карты с проекцией камеры сердца не доказывает измерения объема этой камеры без независимого подтверждения.</w:t>
      </w:r>
    </w:p>
    <w:p>
      <w:pPr>
        <w:pStyle w:val="FirstParagraph"/>
      </w:pPr>
      <w:r>
        <w:rPr>
          <w:rFonts w:ascii="Times New Roman" w:hAnsi="Times New Roman" w:eastAsia="Times New Roman"/>
          <w:sz w:val="28"/>
        </w:rPr>
        <w:t xml:space="preserve">Таким образом, диссертационная работа объединяет исследование биофизических механизмов формирования сигнала и метрологическую оценку расчетных показателей. Основная задача состоит в проверке цепочки «электрическое поле — измеряемый признак — гемодинамический показатель». Имеющиеся данные не позволяют заранее заявлять, что разрабатываемая система заменит эхокардиографию или термодилюцию.</w:t>
      </w:r>
    </w:p>
    <w:bookmarkEnd w:id="30"/>
    <w:bookmarkStart w:id="31" w:name="ограничения-доказательной-базы"/>
    <w:p>
      <w:pPr>
        <w:pStyle w:val="Heading2"/>
        <w:ind w:firstLine="0"/>
      </w:pPr>
      <w:r>
        <w:rPr>
          <w:rFonts w:ascii="Times New Roman" w:hAnsi="Times New Roman" w:eastAsia="Times New Roman"/>
          <w:sz w:val="28"/>
        </w:rPr>
        <w:t xml:space="preserve">10. Ограничения доказательной базы</w:t>
      </w:r>
    </w:p>
    <w:p>
      <w:pPr>
        <w:pStyle w:val="FirstParagraph"/>
      </w:pPr>
      <w:r>
        <w:rPr>
          <w:rFonts w:ascii="Times New Roman" w:hAnsi="Times New Roman" w:eastAsia="Times New Roman"/>
          <w:sz w:val="28"/>
        </w:rPr>
        <w:t xml:space="preserve">Первое ограничение связано с формированием массива источников. В него целенаправленно включались преимущественно работы по ИКГ и электрической кардиометрии; полнота литературы по другим технологиям мониторинга не проверялась.</w:t>
      </w:r>
    </w:p>
    <w:p>
      <w:pPr>
        <w:pStyle w:val="BodyText"/>
      </w:pPr>
      <w:r>
        <w:rPr>
          <w:rFonts w:ascii="Times New Roman" w:hAnsi="Times New Roman" w:eastAsia="Times New Roman"/>
          <w:sz w:val="28"/>
        </w:rPr>
        <w:t xml:space="preserve">Второе ограничение — временная и технологическая неоднородность. Публикации охватывают почти шесть десятилетий, в течение которых менялись электронные компоненты, электроды, цифровая фильтрация и расчетные формулы. Поэтому результаты, полученные для раннего прибора, нельзя без проверки переносить на современную систему. Результаты валидации прежней версии алгоритма также нельзя автоматически распространять на новую версию.</w:t>
      </w:r>
    </w:p>
    <w:p>
      <w:pPr>
        <w:pStyle w:val="BodyText"/>
      </w:pPr>
      <w:r>
        <w:rPr>
          <w:rFonts w:ascii="Times New Roman" w:hAnsi="Times New Roman" w:eastAsia="Times New Roman"/>
          <w:sz w:val="28"/>
        </w:rPr>
        <w:t xml:space="preserve">Третье ограничение — неоднородность референтных методов. В публикациях использованы термодилюция через катетер легочной артерии, транспульмональная термодилюция, разведение красителя, прямой метод Фика, метод повторного дыхания инертным газом, эхокардиография, чреспищеводная допплерография, магнитно-резонансная и радионуклидная визуализация. Каждый метод имеет собственную неопределенность измерения и характеризует гемодинамику на определенном временном интервале.</w:t>
      </w:r>
    </w:p>
    <w:p>
      <w:pPr>
        <w:pStyle w:val="BodyText"/>
      </w:pPr>
      <w:r>
        <w:rPr>
          <w:rFonts w:ascii="Times New Roman" w:hAnsi="Times New Roman" w:eastAsia="Times New Roman"/>
          <w:sz w:val="28"/>
        </w:rPr>
        <w:t xml:space="preserve">Четвертое ограничение связано с малыми выборками и повторными измерениями. Значительная часть исследований включает от 5 до 50 участников, у которых получены десятки или сотни пар измерений. Увеличение числа пар не увеличивает число независимых пациентов; статистический анализ должен учитывать корреляцию повторных наблюдений у одного участника.</w:t>
      </w:r>
    </w:p>
    <w:p>
      <w:pPr>
        <w:pStyle w:val="BodyText"/>
      </w:pPr>
      <w:r>
        <w:rPr>
          <w:rFonts w:ascii="Times New Roman" w:hAnsi="Times New Roman" w:eastAsia="Times New Roman"/>
          <w:sz w:val="28"/>
        </w:rPr>
        <w:t xml:space="preserve">Пятое ограничение — отсутствие полных текстов четырех источников. Аннотация Savarese и соавт. использована только для эпидемиологической оценки распространенности сердечной недостаточности. Публикации Fuller (1992), Newman (1999), Sodolski и соавт. (2007) учтены как дополнительные библиографические источники и не использованы для обоснования основных количественных выводов.</w:t>
      </w:r>
    </w:p>
    <w:p>
      <w:pPr>
        <w:pStyle w:val="BodyText"/>
      </w:pPr>
      <w:r>
        <w:rPr>
          <w:rFonts w:ascii="Times New Roman" w:hAnsi="Times New Roman" w:eastAsia="Times New Roman"/>
          <w:sz w:val="28"/>
        </w:rPr>
        <w:t xml:space="preserve">Шестое ограничение касается работы Kubicek и соавт. К библиографической записи статьи 1966 г. в Zotero прикреплен 192-страничный технический отчет NASA 1967 г. Он посвящен той же разработке, но не идентичен журнальной публикации. Указанные в реестре страницы и извлеченные положения относятся к предоставленному техническому отчету.</w:t>
      </w:r>
    </w:p>
    <w:p>
      <w:pPr>
        <w:pStyle w:val="BodyText"/>
      </w:pPr>
      <w:r>
        <w:rPr>
          <w:rFonts w:ascii="Times New Roman" w:hAnsi="Times New Roman" w:eastAsia="Times New Roman"/>
          <w:sz w:val="28"/>
        </w:rPr>
        <w:t xml:space="preserve">Формальная оценка риска систематической ошибки каждого исследования и самостоятельный количественный метаанализ не выполнялись. Числовые показатели приведены в исходных единицах и в тех условиях, которые описаны авторами публикаций.</w:t>
      </w:r>
    </w:p>
    <w:bookmarkEnd w:id="31"/>
    <w:bookmarkStart w:id="32" w:name="заключение"/>
    <w:p>
      <w:pPr>
        <w:pStyle w:val="Heading2"/>
        <w:ind w:firstLine="0"/>
      </w:pPr>
      <w:r>
        <w:rPr>
          <w:rFonts w:ascii="Times New Roman" w:hAnsi="Times New Roman" w:eastAsia="Times New Roman"/>
          <w:sz w:val="28"/>
        </w:rPr>
        <w:t xml:space="preserve">11. Заключение</w:t>
      </w:r>
    </w:p>
    <w:p>
      <w:pPr>
        <w:pStyle w:val="Compact"/>
        <w:numPr>
          <w:ilvl w:val="0"/>
          <w:numId w:val="1003"/>
        </w:numPr>
      </w:pPr>
      <w:r>
        <w:rPr>
          <w:rFonts w:ascii="Times New Roman" w:hAnsi="Times New Roman" w:eastAsia="Times New Roman"/>
          <w:sz w:val="28"/>
        </w:rPr>
        <w:t xml:space="preserve">Метод мониторинга CO и SV следует выбирать с учетом характера нарушения кровообращения и необходимости оценивать ответ на терапию.</w:t>
      </w:r>
    </w:p>
    <w:p>
      <w:pPr>
        <w:pStyle w:val="Compact"/>
        <w:numPr>
          <w:ilvl w:val="0"/>
          <w:numId w:val="1003"/>
        </w:numPr>
      </w:pPr>
      <w:r>
        <w:rPr>
          <w:rFonts w:ascii="Times New Roman" w:hAnsi="Times New Roman" w:eastAsia="Times New Roman"/>
          <w:sz w:val="28"/>
        </w:rPr>
        <w:t xml:space="preserve">Допустимую степень инвазивности мониторинга выбирают с учетом состояния пациента. Меньшая инвазивность метода не заменяет проверки его точности в соответствующей клинической группе.</w:t>
      </w:r>
    </w:p>
    <w:p>
      <w:pPr>
        <w:pStyle w:val="Compact"/>
        <w:numPr>
          <w:ilvl w:val="0"/>
          <w:numId w:val="1003"/>
        </w:numPr>
      </w:pPr>
      <w:r>
        <w:rPr>
          <w:rFonts w:ascii="Times New Roman" w:hAnsi="Times New Roman" w:eastAsia="Times New Roman"/>
          <w:sz w:val="28"/>
        </w:rPr>
        <w:t xml:space="preserve">ИКГ и электрическая кардиометрия регистрируют изменения электрических свойств грудной клетки, синхронизированные с сердечным циклом. Абсолютный SV при этом остается расчетной величиной, зависящей от принятой модели.</w:t>
      </w:r>
    </w:p>
    <w:p>
      <w:pPr>
        <w:pStyle w:val="Compact"/>
        <w:numPr>
          <w:ilvl w:val="0"/>
          <w:numId w:val="1003"/>
        </w:numPr>
      </w:pPr>
      <w:r>
        <w:rPr>
          <w:rFonts w:ascii="Times New Roman" w:hAnsi="Times New Roman" w:eastAsia="Times New Roman"/>
          <w:sz w:val="28"/>
        </w:rPr>
        <w:t xml:space="preserve">Корреляция недостаточна для подтверждения взаимозаменяемости. Необходимы смещение, пределы согласия, процентная ошибка и отдельная оценка способности отражать изменения с учетом повторных измерений.</w:t>
      </w:r>
    </w:p>
    <w:p>
      <w:pPr>
        <w:pStyle w:val="Compact"/>
        <w:numPr>
          <w:ilvl w:val="0"/>
          <w:numId w:val="1003"/>
        </w:numPr>
      </w:pPr>
      <w:r>
        <w:rPr>
          <w:rFonts w:ascii="Times New Roman" w:hAnsi="Times New Roman" w:eastAsia="Times New Roman"/>
          <w:sz w:val="28"/>
        </w:rPr>
        <w:t xml:space="preserve">Сводные данные и результаты исследований у взрослых не подтверждают возможность замены референтных методов электрической кардиометрией при определении абсолютного CO во всех клинических группах. Приемлемая точность показана только в отдельных условиях.</w:t>
      </w:r>
    </w:p>
    <w:p>
      <w:pPr>
        <w:pStyle w:val="Compact"/>
        <w:numPr>
          <w:ilvl w:val="0"/>
          <w:numId w:val="1003"/>
        </w:numPr>
      </w:pPr>
      <w:r>
        <w:rPr>
          <w:rFonts w:ascii="Times New Roman" w:hAnsi="Times New Roman" w:eastAsia="Times New Roman"/>
          <w:sz w:val="28"/>
        </w:rPr>
        <w:t xml:space="preserve">У детей и новорожденных результаты различались в зависимости от массы тела, режима вентиляции, анатомических особенностей и диапазона CO. Данные общей педиатрической выборки нельзя переносить на недоношенных детей или пациентов с врожденными пороками без отдельной проверки.</w:t>
      </w:r>
    </w:p>
    <w:p>
      <w:pPr>
        <w:pStyle w:val="Compact"/>
        <w:numPr>
          <w:ilvl w:val="0"/>
          <w:numId w:val="1003"/>
        </w:numPr>
      </w:pPr>
      <w:r>
        <w:rPr>
          <w:rFonts w:ascii="Times New Roman" w:hAnsi="Times New Roman" w:eastAsia="Times New Roman"/>
          <w:sz w:val="28"/>
        </w:rPr>
        <w:t xml:space="preserve">Ранние способы прямого вычисления LVEF по ИКГ не показали клинически приемлемого согласия с радионуклидными методами. Временные индексы систолы могут иметь скрининговую ценность, но требуют внешней валидации и не заменяют визуализацию.</w:t>
      </w:r>
    </w:p>
    <w:p>
      <w:pPr>
        <w:pStyle w:val="Compact"/>
        <w:numPr>
          <w:ilvl w:val="0"/>
          <w:numId w:val="1003"/>
        </w:numPr>
      </w:pPr>
      <w:r>
        <w:rPr>
          <w:rFonts w:ascii="Times New Roman" w:hAnsi="Times New Roman" w:eastAsia="Times New Roman"/>
          <w:sz w:val="28"/>
        </w:rPr>
        <w:t xml:space="preserve">В заданном массиве публикаций отсутствует прямая валидация многоканального прекардиального электроимпедансного картирования. Поэтому задача диссертационной работы состоит в проверке воспроизводимости пространственно-временных признаков и обоснованности перехода от измеренного сигнала к гемодинамическому показателю.</w:t>
      </w:r>
    </w:p>
    <w:bookmarkEnd w:id="32"/>
    <w:bookmarkStart w:id="33" w:name="реестр-ключевых-тезисов-и-доказательств"/>
    <w:p>
      <w:pPr>
        <w:pStyle w:val="Heading2"/>
        <w:ind w:firstLine="0"/>
      </w:pPr>
      <w:r>
        <w:rPr>
          <w:rFonts w:ascii="Times New Roman" w:hAnsi="Times New Roman" w:eastAsia="Times New Roman"/>
          <w:sz w:val="28"/>
        </w:rPr>
        <w:t xml:space="preserve">12. Реестр ключевых тезисов и доказательств</w:t>
      </w:r>
    </w:p>
    <w:tbl>
      <w:tblPr>
        <w:tblStyle w:val="Table"/>
        <w:tblW w:type="pct" w:w="5000"/>
        <w:tblLayout w:type="autofit"/>
        <w:tblLook w:firstRow="1" w:lastRow="0" w:firstColumn="0" w:lastColumn="0" w:noHBand="0" w:noVBand="0" w:val="0020"/>
      </w:tblPr>
      <w:tblGrid>
        <w:gridCol w:w="1980"/>
        <w:gridCol w:w="1980"/>
        <w:gridCol w:w="1980"/>
        <w:gridCol w:w="1980"/>
      </w:tblGrid>
      <w:tr>
        <w:trPr>
          <w:tblHeader w:val="on"/>
        </w:trPr>
        <w:tc>
          <w:tcPr/>
          <w:p>
            <w:pPr>
              <w:pStyle w:val="Compact"/>
              <w:spacing w:line="240" w:lineRule="auto" w:after="40"/>
              <w:ind w:firstLine="0"/>
            </w:pPr>
            <w:r>
              <w:rPr>
                <w:rFonts w:ascii="Times New Roman" w:hAnsi="Times New Roman" w:eastAsia="Times New Roman"/>
                <w:b/>
                <w:sz w:val="20"/>
              </w:rPr>
              <w:t xml:space="preserve">ID тезиса</w:t>
            </w:r>
          </w:p>
        </w:tc>
        <w:tc>
          <w:tcPr/>
          <w:p>
            <w:pPr>
              <w:pStyle w:val="Compact"/>
              <w:spacing w:line="240" w:lineRule="auto" w:after="40"/>
              <w:ind w:firstLine="0"/>
            </w:pPr>
            <w:r>
              <w:rPr>
                <w:rFonts w:ascii="Times New Roman" w:hAnsi="Times New Roman" w:eastAsia="Times New Roman"/>
                <w:b/>
                <w:sz w:val="20"/>
              </w:rPr>
              <w:t xml:space="preserve">Синтезированный тезис</w:t>
            </w:r>
          </w:p>
        </w:tc>
        <w:tc>
          <w:tcPr/>
          <w:p>
            <w:pPr>
              <w:pStyle w:val="Compact"/>
              <w:spacing w:line="240" w:lineRule="auto" w:after="40"/>
              <w:ind w:firstLine="0"/>
            </w:pPr>
            <w:r>
              <w:rPr>
                <w:rFonts w:ascii="Times New Roman" w:hAnsi="Times New Roman" w:eastAsia="Times New Roman"/>
                <w:b/>
                <w:sz w:val="20"/>
              </w:rPr>
              <w:t xml:space="preserve">ID доказательств</w:t>
            </w:r>
          </w:p>
        </w:tc>
        <w:tc>
          <w:tcPr/>
          <w:p>
            <w:pPr>
              <w:pStyle w:val="Compact"/>
              <w:spacing w:line="240" w:lineRule="auto" w:after="40"/>
              <w:ind w:firstLine="0"/>
            </w:pPr>
            <w:r>
              <w:rPr>
                <w:rFonts w:ascii="Times New Roman" w:hAnsi="Times New Roman" w:eastAsia="Times New Roman"/>
                <w:b/>
                <w:sz w:val="20"/>
              </w:rPr>
              <w:t xml:space="preserve">Статус</w:t>
            </w:r>
          </w:p>
        </w:tc>
      </w:tr>
      <w:tr>
        <w:tc>
          <w:tcPr/>
          <w:p>
            <w:pPr>
              <w:pStyle w:val="Compact"/>
              <w:spacing w:line="240" w:lineRule="auto" w:after="40"/>
              <w:ind w:firstLine="0"/>
            </w:pPr>
            <w:r>
              <w:rPr>
                <w:rFonts w:ascii="Times New Roman" w:hAnsi="Times New Roman" w:eastAsia="Times New Roman"/>
                <w:sz w:val="20"/>
              </w:rPr>
              <w:t xml:space="preserve">CL-001</w:t>
            </w:r>
          </w:p>
        </w:tc>
        <w:tc>
          <w:tcPr/>
          <w:p>
            <w:pPr>
              <w:pStyle w:val="Compact"/>
              <w:spacing w:line="240" w:lineRule="auto" w:after="40"/>
              <w:ind w:firstLine="0"/>
            </w:pPr>
            <w:r>
              <w:rPr>
                <w:rFonts w:ascii="Times New Roman" w:hAnsi="Times New Roman" w:eastAsia="Times New Roman"/>
                <w:sz w:val="20"/>
              </w:rPr>
              <w:t xml:space="preserve">Сердечно-сосудистые заболевания и сердечная недостаточность имеют широкую распространенность и связаны с высокой смертностью</w:t>
            </w:r>
          </w:p>
        </w:tc>
        <w:tc>
          <w:tcPr/>
          <w:p>
            <w:pPr>
              <w:pStyle w:val="Compact"/>
              <w:spacing w:line="240" w:lineRule="auto" w:after="40"/>
              <w:ind w:firstLine="0"/>
            </w:pPr>
            <w:r>
              <w:rPr>
                <w:rFonts w:ascii="Times New Roman" w:hAnsi="Times New Roman" w:eastAsia="Times New Roman"/>
                <w:sz w:val="20"/>
              </w:rPr>
              <w:t xml:space="preserve">EV-001; EV-002</w:t>
            </w:r>
          </w:p>
        </w:tc>
        <w:tc>
          <w:tcPr/>
          <w:p>
            <w:pPr>
              <w:pStyle w:val="Compact"/>
              <w:spacing w:line="240" w:lineRule="auto" w:after="40"/>
              <w:ind w:firstLine="0"/>
            </w:pPr>
            <w:r>
              <w:rPr>
                <w:rFonts w:ascii="Times New Roman" w:hAnsi="Times New Roman" w:eastAsia="Times New Roman"/>
                <w:sz w:val="20"/>
              </w:rPr>
              <w:t xml:space="preserve">подтвержден — оставить</w:t>
            </w:r>
          </w:p>
        </w:tc>
      </w:tr>
      <w:tr>
        <w:tc>
          <w:tcPr/>
          <w:p>
            <w:pPr>
              <w:pStyle w:val="Compact"/>
              <w:spacing w:line="240" w:lineRule="auto" w:after="40"/>
              <w:ind w:firstLine="0"/>
            </w:pPr>
            <w:r>
              <w:rPr>
                <w:rFonts w:ascii="Times New Roman" w:hAnsi="Times New Roman" w:eastAsia="Times New Roman"/>
                <w:sz w:val="20"/>
              </w:rPr>
              <w:t xml:space="preserve">CL-002</w:t>
            </w:r>
          </w:p>
        </w:tc>
        <w:tc>
          <w:tcPr/>
          <w:p>
            <w:pPr>
              <w:pStyle w:val="Compact"/>
              <w:spacing w:line="240" w:lineRule="auto" w:after="40"/>
              <w:ind w:firstLine="0"/>
            </w:pPr>
            <w:r>
              <w:rPr>
                <w:rFonts w:ascii="Times New Roman" w:hAnsi="Times New Roman" w:eastAsia="Times New Roman"/>
                <w:sz w:val="20"/>
              </w:rPr>
              <w:t xml:space="preserve">При классификации сердечной недостаточности используется LVEF, но для HFpEF необходимы дополнительные объективные признаки</w:t>
            </w:r>
          </w:p>
        </w:tc>
        <w:tc>
          <w:tcPr/>
          <w:p>
            <w:pPr>
              <w:pStyle w:val="Compact"/>
              <w:spacing w:line="240" w:lineRule="auto" w:after="40"/>
              <w:ind w:firstLine="0"/>
            </w:pPr>
            <w:r>
              <w:rPr>
                <w:rFonts w:ascii="Times New Roman" w:hAnsi="Times New Roman" w:eastAsia="Times New Roman"/>
                <w:sz w:val="20"/>
              </w:rPr>
              <w:t xml:space="preserve">EV-003</w:t>
            </w:r>
          </w:p>
        </w:tc>
        <w:tc>
          <w:tcPr/>
          <w:p>
            <w:pPr>
              <w:pStyle w:val="Compact"/>
              <w:spacing w:line="240" w:lineRule="auto" w:after="40"/>
              <w:ind w:firstLine="0"/>
            </w:pPr>
            <w:r>
              <w:rPr>
                <w:rFonts w:ascii="Times New Roman" w:hAnsi="Times New Roman" w:eastAsia="Times New Roman"/>
                <w:sz w:val="20"/>
              </w:rPr>
              <w:t xml:space="preserve">подтвержден — оставить</w:t>
            </w:r>
          </w:p>
        </w:tc>
      </w:tr>
      <w:tr>
        <w:tc>
          <w:tcPr/>
          <w:p>
            <w:pPr>
              <w:pStyle w:val="Compact"/>
              <w:spacing w:line="240" w:lineRule="auto" w:after="40"/>
              <w:ind w:firstLine="0"/>
            </w:pPr>
            <w:r>
              <w:rPr>
                <w:rFonts w:ascii="Times New Roman" w:hAnsi="Times New Roman" w:eastAsia="Times New Roman"/>
                <w:sz w:val="20"/>
              </w:rPr>
              <w:t xml:space="preserve">CL-003</w:t>
            </w:r>
          </w:p>
        </w:tc>
        <w:tc>
          <w:tcPr/>
          <w:p>
            <w:pPr>
              <w:pStyle w:val="Compact"/>
              <w:spacing w:line="240" w:lineRule="auto" w:after="40"/>
              <w:ind w:firstLine="0"/>
            </w:pPr>
            <w:r>
              <w:rPr>
                <w:rFonts w:ascii="Times New Roman" w:hAnsi="Times New Roman" w:eastAsia="Times New Roman"/>
                <w:sz w:val="20"/>
              </w:rPr>
              <w:t xml:space="preserve">При шоке без ответа на начальную терапию рекомендуется контролировать CO и/или SV; для определения типа шока методом визуализации первой линии служит эхокардиография</w:t>
            </w:r>
          </w:p>
        </w:tc>
        <w:tc>
          <w:tcPr/>
          <w:p>
            <w:pPr>
              <w:pStyle w:val="Compact"/>
              <w:spacing w:line="240" w:lineRule="auto" w:after="40"/>
              <w:ind w:firstLine="0"/>
            </w:pPr>
            <w:r>
              <w:rPr>
                <w:rFonts w:ascii="Times New Roman" w:hAnsi="Times New Roman" w:eastAsia="Times New Roman"/>
                <w:sz w:val="20"/>
              </w:rPr>
              <w:t xml:space="preserve">EV-004; EV-005</w:t>
            </w:r>
          </w:p>
        </w:tc>
        <w:tc>
          <w:tcPr/>
          <w:p>
            <w:pPr>
              <w:pStyle w:val="Compact"/>
              <w:spacing w:line="240" w:lineRule="auto" w:after="40"/>
              <w:ind w:firstLine="0"/>
            </w:pPr>
            <w:r>
              <w:rPr>
                <w:rFonts w:ascii="Times New Roman" w:hAnsi="Times New Roman" w:eastAsia="Times New Roman"/>
                <w:sz w:val="20"/>
              </w:rPr>
              <w:t xml:space="preserve">подтвержден — оставить</w:t>
            </w:r>
          </w:p>
        </w:tc>
      </w:tr>
      <w:tr>
        <w:tc>
          <w:tcPr/>
          <w:p>
            <w:pPr>
              <w:pStyle w:val="Compact"/>
              <w:spacing w:line="240" w:lineRule="auto" w:after="40"/>
              <w:ind w:firstLine="0"/>
            </w:pPr>
            <w:r>
              <w:rPr>
                <w:rFonts w:ascii="Times New Roman" w:hAnsi="Times New Roman" w:eastAsia="Times New Roman"/>
                <w:sz w:val="20"/>
              </w:rPr>
              <w:t xml:space="preserve">CL-004</w:t>
            </w:r>
          </w:p>
        </w:tc>
        <w:tc>
          <w:tcPr/>
          <w:p>
            <w:pPr>
              <w:pStyle w:val="Compact"/>
              <w:spacing w:line="240" w:lineRule="auto" w:after="40"/>
              <w:ind w:firstLine="0"/>
            </w:pPr>
            <w:r>
              <w:rPr>
                <w:rFonts w:ascii="Times New Roman" w:hAnsi="Times New Roman" w:eastAsia="Times New Roman"/>
                <w:sz w:val="20"/>
              </w:rPr>
              <w:t xml:space="preserve">При выборе монитора необходимо учитывать его инвазивность и результаты валидации в предполагаемых условиях применения</w:t>
            </w:r>
          </w:p>
        </w:tc>
        <w:tc>
          <w:tcPr/>
          <w:p>
            <w:pPr>
              <w:pStyle w:val="Compact"/>
              <w:spacing w:line="240" w:lineRule="auto" w:after="40"/>
              <w:ind w:firstLine="0"/>
            </w:pPr>
            <w:r>
              <w:rPr>
                <w:rFonts w:ascii="Times New Roman" w:hAnsi="Times New Roman" w:eastAsia="Times New Roman"/>
                <w:sz w:val="20"/>
              </w:rPr>
              <w:t xml:space="preserve">EV-006; EV-007</w:t>
            </w:r>
          </w:p>
        </w:tc>
        <w:tc>
          <w:tcPr/>
          <w:p>
            <w:pPr>
              <w:pStyle w:val="Compact"/>
              <w:spacing w:line="240" w:lineRule="auto" w:after="40"/>
              <w:ind w:firstLine="0"/>
            </w:pPr>
            <w:r>
              <w:rPr>
                <w:rFonts w:ascii="Times New Roman" w:hAnsi="Times New Roman" w:eastAsia="Times New Roman"/>
                <w:sz w:val="20"/>
              </w:rPr>
              <w:t xml:space="preserve">подтвержден — оставить</w:t>
            </w:r>
          </w:p>
        </w:tc>
      </w:tr>
      <w:tr>
        <w:tc>
          <w:tcPr/>
          <w:p>
            <w:pPr>
              <w:pStyle w:val="Compact"/>
              <w:spacing w:line="240" w:lineRule="auto" w:after="40"/>
              <w:ind w:firstLine="0"/>
            </w:pPr>
            <w:r>
              <w:rPr>
                <w:rFonts w:ascii="Times New Roman" w:hAnsi="Times New Roman" w:eastAsia="Times New Roman"/>
                <w:sz w:val="20"/>
              </w:rPr>
              <w:t xml:space="preserve">CL-005</w:t>
            </w:r>
          </w:p>
        </w:tc>
        <w:tc>
          <w:tcPr/>
          <w:p>
            <w:pPr>
              <w:pStyle w:val="Compact"/>
              <w:spacing w:line="240" w:lineRule="auto" w:after="40"/>
              <w:ind w:firstLine="0"/>
            </w:pPr>
            <w:r>
              <w:rPr>
                <w:rFonts w:ascii="Times New Roman" w:hAnsi="Times New Roman" w:eastAsia="Times New Roman"/>
                <w:sz w:val="20"/>
              </w:rPr>
              <w:t xml:space="preserve">Связь целенаправленной гемодинамической терапии с клиническими исходами характеризует всю последовательность «измерение — решение — лечение»</w:t>
            </w:r>
          </w:p>
        </w:tc>
        <w:tc>
          <w:tcPr/>
          <w:p>
            <w:pPr>
              <w:pStyle w:val="Compact"/>
              <w:spacing w:line="240" w:lineRule="auto" w:after="40"/>
              <w:ind w:firstLine="0"/>
            </w:pPr>
            <w:r>
              <w:rPr>
                <w:rFonts w:ascii="Times New Roman" w:hAnsi="Times New Roman" w:eastAsia="Times New Roman"/>
                <w:sz w:val="20"/>
              </w:rPr>
              <w:t xml:space="preserve">EV-008</w:t>
            </w:r>
          </w:p>
        </w:tc>
        <w:tc>
          <w:tcPr/>
          <w:p>
            <w:pPr>
              <w:pStyle w:val="Compact"/>
              <w:spacing w:line="240" w:lineRule="auto" w:after="40"/>
              <w:ind w:firstLine="0"/>
            </w:pPr>
            <w:r>
              <w:rPr>
                <w:rFonts w:ascii="Times New Roman" w:hAnsi="Times New Roman" w:eastAsia="Times New Roman"/>
                <w:sz w:val="20"/>
              </w:rPr>
              <w:t xml:space="preserve">ограничен — оставить с границей</w:t>
            </w:r>
          </w:p>
        </w:tc>
      </w:tr>
      <w:tr>
        <w:tc>
          <w:tcPr/>
          <w:p>
            <w:pPr>
              <w:pStyle w:val="Compact"/>
              <w:spacing w:line="240" w:lineRule="auto" w:after="40"/>
              <w:ind w:firstLine="0"/>
            </w:pPr>
            <w:r>
              <w:rPr>
                <w:rFonts w:ascii="Times New Roman" w:hAnsi="Times New Roman" w:eastAsia="Times New Roman"/>
                <w:sz w:val="20"/>
              </w:rPr>
              <w:t xml:space="preserve">CL-006</w:t>
            </w:r>
          </w:p>
        </w:tc>
        <w:tc>
          <w:tcPr/>
          <w:p>
            <w:pPr>
              <w:pStyle w:val="Compact"/>
              <w:spacing w:line="240" w:lineRule="auto" w:after="40"/>
              <w:ind w:firstLine="0"/>
            </w:pPr>
            <w:r>
              <w:rPr>
                <w:rFonts w:ascii="Times New Roman" w:hAnsi="Times New Roman" w:eastAsia="Times New Roman"/>
                <w:sz w:val="20"/>
              </w:rPr>
              <w:t xml:space="preserve">Классическая ИКГ использует</w:t>
            </w:r>
            <w:r>
              <w:rPr>
                <w:rFonts w:ascii="Times New Roman" w:hAnsi="Times New Roman" w:eastAsia="Times New Roman"/>
                <w:sz w:val="20"/>
              </w:rPr>
              <w:t xml:space="preserve"> </w:t>
            </w:r>
            <w:r>
              <w:rPr>
                <w:rStyle w:val="VerbatimChar"/>
                <w:rFonts w:ascii="Times New Roman" w:hAnsi="Times New Roman" w:eastAsia="Times New Roman"/>
                <w:sz w:val="20"/>
              </w:rPr>
              <w:t xml:space="preserve">dZ/dt</w:t>
            </w:r>
            <w:r>
              <w:rPr>
                <w:rFonts w:ascii="Times New Roman" w:hAnsi="Times New Roman" w:eastAsia="Times New Roman"/>
                <w:sz w:val="20"/>
              </w:rPr>
              <w:t xml:space="preserve"> </w:t>
            </w:r>
            <w:r>
              <w:rPr>
                <w:rFonts w:ascii="Times New Roman" w:hAnsi="Times New Roman" w:eastAsia="Times New Roman"/>
                <w:sz w:val="20"/>
              </w:rPr>
              <w:t xml:space="preserve">и время изгнания</w:t>
            </w:r>
          </w:p>
        </w:tc>
        <w:tc>
          <w:tcPr/>
          <w:p>
            <w:pPr>
              <w:pStyle w:val="Compact"/>
              <w:spacing w:line="240" w:lineRule="auto" w:after="40"/>
              <w:ind w:firstLine="0"/>
            </w:pPr>
            <w:r>
              <w:rPr>
                <w:rFonts w:ascii="Times New Roman" w:hAnsi="Times New Roman" w:eastAsia="Times New Roman"/>
                <w:sz w:val="20"/>
              </w:rPr>
              <w:t xml:space="preserve">EV-009</w:t>
            </w:r>
          </w:p>
        </w:tc>
        <w:tc>
          <w:tcPr/>
          <w:p>
            <w:pPr>
              <w:pStyle w:val="Compact"/>
              <w:spacing w:line="240" w:lineRule="auto" w:after="40"/>
              <w:ind w:firstLine="0"/>
            </w:pPr>
            <w:r>
              <w:rPr>
                <w:rFonts w:ascii="Times New Roman" w:hAnsi="Times New Roman" w:eastAsia="Times New Roman"/>
                <w:sz w:val="20"/>
              </w:rPr>
              <w:t xml:space="preserve">подтвержден — оставить</w:t>
            </w:r>
          </w:p>
        </w:tc>
      </w:tr>
      <w:tr>
        <w:tc>
          <w:tcPr/>
          <w:p>
            <w:pPr>
              <w:pStyle w:val="Compact"/>
              <w:spacing w:line="240" w:lineRule="auto" w:after="40"/>
              <w:ind w:firstLine="0"/>
            </w:pPr>
            <w:r>
              <w:rPr>
                <w:rFonts w:ascii="Times New Roman" w:hAnsi="Times New Roman" w:eastAsia="Times New Roman"/>
                <w:sz w:val="20"/>
              </w:rPr>
              <w:t xml:space="preserve">CL-007</w:t>
            </w:r>
          </w:p>
        </w:tc>
        <w:tc>
          <w:tcPr/>
          <w:p>
            <w:pPr>
              <w:pStyle w:val="Compact"/>
              <w:spacing w:line="240" w:lineRule="auto" w:after="40"/>
              <w:ind w:firstLine="0"/>
            </w:pPr>
            <w:r>
              <w:rPr>
                <w:rFonts w:ascii="Times New Roman" w:hAnsi="Times New Roman" w:eastAsia="Times New Roman"/>
                <w:sz w:val="20"/>
              </w:rPr>
              <w:t xml:space="preserve">Абсолютный SV зависит от геометрической модели и антропометрических данных</w:t>
            </w:r>
          </w:p>
        </w:tc>
        <w:tc>
          <w:tcPr/>
          <w:p>
            <w:pPr>
              <w:pStyle w:val="Compact"/>
              <w:spacing w:line="240" w:lineRule="auto" w:after="40"/>
              <w:ind w:firstLine="0"/>
            </w:pPr>
            <w:r>
              <w:rPr>
                <w:rFonts w:ascii="Times New Roman" w:hAnsi="Times New Roman" w:eastAsia="Times New Roman"/>
                <w:sz w:val="20"/>
              </w:rPr>
              <w:t xml:space="preserve">EV-011; EV-012</w:t>
            </w:r>
          </w:p>
        </w:tc>
        <w:tc>
          <w:tcPr/>
          <w:p>
            <w:pPr>
              <w:pStyle w:val="Compact"/>
              <w:spacing w:line="240" w:lineRule="auto" w:after="40"/>
              <w:ind w:firstLine="0"/>
            </w:pPr>
            <w:r>
              <w:rPr>
                <w:rFonts w:ascii="Times New Roman" w:hAnsi="Times New Roman" w:eastAsia="Times New Roman"/>
                <w:sz w:val="20"/>
              </w:rPr>
              <w:t xml:space="preserve">подтвержден — оставить</w:t>
            </w:r>
          </w:p>
        </w:tc>
      </w:tr>
      <w:tr>
        <w:tc>
          <w:tcPr/>
          <w:p>
            <w:pPr>
              <w:pStyle w:val="Compact"/>
              <w:spacing w:line="240" w:lineRule="auto" w:after="40"/>
              <w:ind w:firstLine="0"/>
            </w:pPr>
            <w:r>
              <w:rPr>
                <w:rFonts w:ascii="Times New Roman" w:hAnsi="Times New Roman" w:eastAsia="Times New Roman"/>
                <w:sz w:val="20"/>
              </w:rPr>
              <w:t xml:space="preserve">CL-008</w:t>
            </w:r>
          </w:p>
        </w:tc>
        <w:tc>
          <w:tcPr/>
          <w:p>
            <w:pPr>
              <w:pStyle w:val="Compact"/>
              <w:spacing w:line="240" w:lineRule="auto" w:after="40"/>
              <w:ind w:firstLine="0"/>
            </w:pPr>
            <w:r>
              <w:rPr>
                <w:rFonts w:ascii="Times New Roman" w:hAnsi="Times New Roman" w:eastAsia="Times New Roman"/>
                <w:sz w:val="20"/>
              </w:rPr>
              <w:t xml:space="preserve">Стандартизация аппаратуры, электродов и обработки необходима</w:t>
            </w:r>
          </w:p>
        </w:tc>
        <w:tc>
          <w:tcPr/>
          <w:p>
            <w:pPr>
              <w:pStyle w:val="Compact"/>
              <w:spacing w:line="240" w:lineRule="auto" w:after="40"/>
              <w:ind w:firstLine="0"/>
            </w:pPr>
            <w:r>
              <w:rPr>
                <w:rFonts w:ascii="Times New Roman" w:hAnsi="Times New Roman" w:eastAsia="Times New Roman"/>
                <w:sz w:val="20"/>
              </w:rPr>
              <w:t xml:space="preserve">EV-013</w:t>
            </w:r>
          </w:p>
        </w:tc>
        <w:tc>
          <w:tcPr/>
          <w:p>
            <w:pPr>
              <w:pStyle w:val="Compact"/>
              <w:spacing w:line="240" w:lineRule="auto" w:after="40"/>
              <w:ind w:firstLine="0"/>
            </w:pPr>
            <w:r>
              <w:rPr>
                <w:rFonts w:ascii="Times New Roman" w:hAnsi="Times New Roman" w:eastAsia="Times New Roman"/>
                <w:sz w:val="20"/>
              </w:rPr>
              <w:t xml:space="preserve">подтвержден — оставить</w:t>
            </w:r>
          </w:p>
        </w:tc>
      </w:tr>
      <w:tr>
        <w:tc>
          <w:tcPr/>
          <w:p>
            <w:pPr>
              <w:pStyle w:val="Compact"/>
              <w:spacing w:line="240" w:lineRule="auto" w:after="40"/>
              <w:ind w:firstLine="0"/>
            </w:pPr>
            <w:r>
              <w:rPr>
                <w:rFonts w:ascii="Times New Roman" w:hAnsi="Times New Roman" w:eastAsia="Times New Roman"/>
                <w:sz w:val="20"/>
              </w:rPr>
              <w:t xml:space="preserve">CL-009</w:t>
            </w:r>
          </w:p>
        </w:tc>
        <w:tc>
          <w:tcPr/>
          <w:p>
            <w:pPr>
              <w:pStyle w:val="Compact"/>
              <w:spacing w:line="240" w:lineRule="auto" w:after="40"/>
              <w:ind w:firstLine="0"/>
            </w:pPr>
            <w:r>
              <w:rPr>
                <w:rFonts w:ascii="Times New Roman" w:hAnsi="Times New Roman" w:eastAsia="Times New Roman"/>
                <w:sz w:val="20"/>
              </w:rPr>
              <w:t xml:space="preserve">Корреляция не подтверждает согласие и взаимозаменяемость методов</w:t>
            </w:r>
          </w:p>
        </w:tc>
        <w:tc>
          <w:tcPr/>
          <w:p>
            <w:pPr>
              <w:pStyle w:val="Compact"/>
              <w:spacing w:line="240" w:lineRule="auto" w:after="40"/>
              <w:ind w:firstLine="0"/>
            </w:pPr>
            <w:r>
              <w:rPr>
                <w:rFonts w:ascii="Times New Roman" w:hAnsi="Times New Roman" w:eastAsia="Times New Roman"/>
                <w:sz w:val="20"/>
              </w:rPr>
              <w:t xml:space="preserve">EV-014; EV-016; EV-027</w:t>
            </w:r>
          </w:p>
        </w:tc>
        <w:tc>
          <w:tcPr/>
          <w:p>
            <w:pPr>
              <w:pStyle w:val="Compact"/>
              <w:spacing w:line="240" w:lineRule="auto" w:after="40"/>
              <w:ind w:firstLine="0"/>
            </w:pPr>
            <w:r>
              <w:rPr>
                <w:rFonts w:ascii="Times New Roman" w:hAnsi="Times New Roman" w:eastAsia="Times New Roman"/>
                <w:sz w:val="20"/>
              </w:rPr>
              <w:t xml:space="preserve">подтвержден — оставить</w:t>
            </w:r>
          </w:p>
        </w:tc>
      </w:tr>
      <w:tr>
        <w:tc>
          <w:tcPr/>
          <w:p>
            <w:pPr>
              <w:pStyle w:val="Compact"/>
              <w:spacing w:line="240" w:lineRule="auto" w:after="40"/>
              <w:ind w:firstLine="0"/>
            </w:pPr>
            <w:r>
              <w:rPr>
                <w:rFonts w:ascii="Times New Roman" w:hAnsi="Times New Roman" w:eastAsia="Times New Roman"/>
                <w:sz w:val="20"/>
              </w:rPr>
              <w:t xml:space="preserve">CL-010</w:t>
            </w:r>
          </w:p>
        </w:tc>
        <w:tc>
          <w:tcPr/>
          <w:p>
            <w:pPr>
              <w:pStyle w:val="Compact"/>
              <w:spacing w:line="240" w:lineRule="auto" w:after="40"/>
              <w:ind w:firstLine="0"/>
            </w:pPr>
            <w:r>
              <w:rPr>
                <w:rFonts w:ascii="Times New Roman" w:hAnsi="Times New Roman" w:eastAsia="Times New Roman"/>
                <w:sz w:val="20"/>
              </w:rPr>
              <w:t xml:space="preserve">Значение MPE около 30 % можно использовать только как ориентир, зависящий от условий сравнения</w:t>
            </w:r>
          </w:p>
        </w:tc>
        <w:tc>
          <w:tcPr/>
          <w:p>
            <w:pPr>
              <w:pStyle w:val="Compact"/>
              <w:spacing w:line="240" w:lineRule="auto" w:after="40"/>
              <w:ind w:firstLine="0"/>
            </w:pPr>
            <w:r>
              <w:rPr>
                <w:rFonts w:ascii="Times New Roman" w:hAnsi="Times New Roman" w:eastAsia="Times New Roman"/>
                <w:sz w:val="20"/>
              </w:rPr>
              <w:t xml:space="preserve">EV-014</w:t>
            </w:r>
          </w:p>
        </w:tc>
        <w:tc>
          <w:tcPr/>
          <w:p>
            <w:pPr>
              <w:pStyle w:val="Compact"/>
              <w:spacing w:line="240" w:lineRule="auto" w:after="40"/>
              <w:ind w:firstLine="0"/>
            </w:pPr>
            <w:r>
              <w:rPr>
                <w:rFonts w:ascii="Times New Roman" w:hAnsi="Times New Roman" w:eastAsia="Times New Roman"/>
                <w:sz w:val="20"/>
              </w:rPr>
              <w:t xml:space="preserve">ограничен — оставить с границей</w:t>
            </w:r>
          </w:p>
        </w:tc>
      </w:tr>
      <w:tr>
        <w:tc>
          <w:tcPr/>
          <w:p>
            <w:pPr>
              <w:pStyle w:val="Compact"/>
              <w:spacing w:line="240" w:lineRule="auto" w:after="40"/>
              <w:ind w:firstLine="0"/>
            </w:pPr>
            <w:r>
              <w:rPr>
                <w:rFonts w:ascii="Times New Roman" w:hAnsi="Times New Roman" w:eastAsia="Times New Roman"/>
                <w:sz w:val="20"/>
              </w:rPr>
              <w:t xml:space="preserve">CL-011</w:t>
            </w:r>
          </w:p>
        </w:tc>
        <w:tc>
          <w:tcPr/>
          <w:p>
            <w:pPr>
              <w:pStyle w:val="Compact"/>
              <w:spacing w:line="240" w:lineRule="auto" w:after="40"/>
              <w:ind w:firstLine="0"/>
            </w:pPr>
            <w:r>
              <w:rPr>
                <w:rFonts w:ascii="Times New Roman" w:hAnsi="Times New Roman" w:eastAsia="Times New Roman"/>
                <w:sz w:val="20"/>
              </w:rPr>
              <w:t xml:space="preserve">Результаты не подтверждают замену референтных методов электрической кардиометрией при определении абсолютного CO во всех клинических группах</w:t>
            </w:r>
          </w:p>
        </w:tc>
        <w:tc>
          <w:tcPr/>
          <w:p>
            <w:pPr>
              <w:pStyle w:val="Compact"/>
              <w:spacing w:line="240" w:lineRule="auto" w:after="40"/>
              <w:ind w:firstLine="0"/>
            </w:pPr>
            <w:r>
              <w:rPr>
                <w:rFonts w:ascii="Times New Roman" w:hAnsi="Times New Roman" w:eastAsia="Times New Roman"/>
                <w:sz w:val="20"/>
              </w:rPr>
              <w:t xml:space="preserve">EV-015; EV-017; EV-019; EV-020; EV-021</w:t>
            </w:r>
          </w:p>
        </w:tc>
        <w:tc>
          <w:tcPr/>
          <w:p>
            <w:pPr>
              <w:pStyle w:val="Compact"/>
              <w:spacing w:line="240" w:lineRule="auto" w:after="40"/>
              <w:ind w:firstLine="0"/>
            </w:pPr>
            <w:r>
              <w:rPr>
                <w:rFonts w:ascii="Times New Roman" w:hAnsi="Times New Roman" w:eastAsia="Times New Roman"/>
                <w:sz w:val="20"/>
              </w:rPr>
              <w:t xml:space="preserve">подтвержден — оставить</w:t>
            </w:r>
          </w:p>
        </w:tc>
      </w:tr>
      <w:tr>
        <w:tc>
          <w:tcPr/>
          <w:p>
            <w:pPr>
              <w:pStyle w:val="Compact"/>
              <w:spacing w:line="240" w:lineRule="auto" w:after="40"/>
              <w:ind w:firstLine="0"/>
            </w:pPr>
            <w:r>
              <w:rPr>
                <w:rFonts w:ascii="Times New Roman" w:hAnsi="Times New Roman" w:eastAsia="Times New Roman"/>
                <w:sz w:val="20"/>
              </w:rPr>
              <w:t xml:space="preserve">CL-012</w:t>
            </w:r>
          </w:p>
        </w:tc>
        <w:tc>
          <w:tcPr/>
          <w:p>
            <w:pPr>
              <w:pStyle w:val="Compact"/>
              <w:spacing w:line="240" w:lineRule="auto" w:after="40"/>
              <w:ind w:firstLine="0"/>
            </w:pPr>
            <w:r>
              <w:rPr>
                <w:rFonts w:ascii="Times New Roman" w:hAnsi="Times New Roman" w:eastAsia="Times New Roman"/>
                <w:sz w:val="20"/>
              </w:rPr>
              <w:t xml:space="preserve">Оценки точности ИКГ расходятся между клиническими группами</w:t>
            </w:r>
          </w:p>
        </w:tc>
        <w:tc>
          <w:tcPr/>
          <w:p>
            <w:pPr>
              <w:pStyle w:val="Compact"/>
              <w:spacing w:line="240" w:lineRule="auto" w:after="40"/>
              <w:ind w:firstLine="0"/>
            </w:pPr>
            <w:r>
              <w:rPr>
                <w:rFonts w:ascii="Times New Roman" w:hAnsi="Times New Roman" w:eastAsia="Times New Roman"/>
                <w:sz w:val="20"/>
              </w:rPr>
              <w:t xml:space="preserve">EV-018; EV-019; EV-020; EV-021</w:t>
            </w:r>
          </w:p>
        </w:tc>
        <w:tc>
          <w:tcPr/>
          <w:p>
            <w:pPr>
              <w:pStyle w:val="Compact"/>
              <w:spacing w:line="240" w:lineRule="auto" w:after="40"/>
              <w:ind w:firstLine="0"/>
            </w:pPr>
            <w:r>
              <w:rPr>
                <w:rFonts w:ascii="Times New Roman" w:hAnsi="Times New Roman" w:eastAsia="Times New Roman"/>
                <w:sz w:val="20"/>
              </w:rPr>
              <w:t xml:space="preserve">конфликт — раскрыть</w:t>
            </w:r>
          </w:p>
        </w:tc>
      </w:tr>
      <w:tr>
        <w:tc>
          <w:tcPr/>
          <w:p>
            <w:pPr>
              <w:pStyle w:val="Compact"/>
              <w:spacing w:line="240" w:lineRule="auto" w:after="40"/>
              <w:ind w:firstLine="0"/>
            </w:pPr>
            <w:r>
              <w:rPr>
                <w:rFonts w:ascii="Times New Roman" w:hAnsi="Times New Roman" w:eastAsia="Times New Roman"/>
                <w:sz w:val="20"/>
              </w:rPr>
              <w:t xml:space="preserve">CL-013</w:t>
            </w:r>
          </w:p>
        </w:tc>
        <w:tc>
          <w:tcPr/>
          <w:p>
            <w:pPr>
              <w:pStyle w:val="Compact"/>
              <w:spacing w:line="240" w:lineRule="auto" w:after="40"/>
              <w:ind w:firstLine="0"/>
            </w:pPr>
            <w:r>
              <w:rPr>
                <w:rFonts w:ascii="Times New Roman" w:hAnsi="Times New Roman" w:eastAsia="Times New Roman"/>
                <w:sz w:val="20"/>
              </w:rPr>
              <w:t xml:space="preserve">В отдельных условиях изменения CO и SV воспроизводятся лучше, чем их абсолютные значения</w:t>
            </w:r>
          </w:p>
        </w:tc>
        <w:tc>
          <w:tcPr/>
          <w:p>
            <w:pPr>
              <w:pStyle w:val="Compact"/>
              <w:spacing w:line="240" w:lineRule="auto" w:after="40"/>
              <w:ind w:firstLine="0"/>
            </w:pPr>
            <w:r>
              <w:rPr>
                <w:rFonts w:ascii="Times New Roman" w:hAnsi="Times New Roman" w:eastAsia="Times New Roman"/>
                <w:sz w:val="20"/>
              </w:rPr>
              <w:t xml:space="preserve">EV-010; EV-016; EV-021</w:t>
            </w:r>
          </w:p>
        </w:tc>
        <w:tc>
          <w:tcPr/>
          <w:p>
            <w:pPr>
              <w:pStyle w:val="Compact"/>
              <w:spacing w:line="240" w:lineRule="auto" w:after="40"/>
              <w:ind w:firstLine="0"/>
            </w:pPr>
            <w:r>
              <w:rPr>
                <w:rFonts w:ascii="Times New Roman" w:hAnsi="Times New Roman" w:eastAsia="Times New Roman"/>
                <w:sz w:val="20"/>
              </w:rPr>
              <w:t xml:space="preserve">ограничен — оставить с границей</w:t>
            </w:r>
          </w:p>
        </w:tc>
      </w:tr>
      <w:tr>
        <w:tc>
          <w:tcPr/>
          <w:p>
            <w:pPr>
              <w:pStyle w:val="Compact"/>
              <w:spacing w:line="240" w:lineRule="auto" w:after="40"/>
              <w:ind w:firstLine="0"/>
            </w:pPr>
            <w:r>
              <w:rPr>
                <w:rFonts w:ascii="Times New Roman" w:hAnsi="Times New Roman" w:eastAsia="Times New Roman"/>
                <w:sz w:val="20"/>
              </w:rPr>
              <w:t xml:space="preserve">CL-014</w:t>
            </w:r>
          </w:p>
        </w:tc>
        <w:tc>
          <w:tcPr/>
          <w:p>
            <w:pPr>
              <w:pStyle w:val="Compact"/>
              <w:spacing w:line="240" w:lineRule="auto" w:after="40"/>
              <w:ind w:firstLine="0"/>
            </w:pPr>
            <w:r>
              <w:rPr>
                <w:rFonts w:ascii="Times New Roman" w:hAnsi="Times New Roman" w:eastAsia="Times New Roman"/>
                <w:sz w:val="20"/>
              </w:rPr>
              <w:t xml:space="preserve">У детей согласие различалось в зависимости от массы тела, режима вентиляции и анатомических особенностей</w:t>
            </w:r>
          </w:p>
        </w:tc>
        <w:tc>
          <w:tcPr/>
          <w:p>
            <w:pPr>
              <w:pStyle w:val="Compact"/>
              <w:spacing w:line="240" w:lineRule="auto" w:after="40"/>
              <w:ind w:firstLine="0"/>
            </w:pPr>
            <w:r>
              <w:rPr>
                <w:rFonts w:ascii="Times New Roman" w:hAnsi="Times New Roman" w:eastAsia="Times New Roman"/>
                <w:sz w:val="20"/>
              </w:rPr>
              <w:t xml:space="preserve">EV-022–EV-025</w:t>
            </w:r>
          </w:p>
        </w:tc>
        <w:tc>
          <w:tcPr/>
          <w:p>
            <w:pPr>
              <w:pStyle w:val="Compact"/>
              <w:spacing w:line="240" w:lineRule="auto" w:after="40"/>
              <w:ind w:firstLine="0"/>
            </w:pPr>
            <w:r>
              <w:rPr>
                <w:rFonts w:ascii="Times New Roman" w:hAnsi="Times New Roman" w:eastAsia="Times New Roman"/>
                <w:sz w:val="20"/>
              </w:rPr>
              <w:t xml:space="preserve">конфликт — раскрыть</w:t>
            </w:r>
          </w:p>
        </w:tc>
      </w:tr>
      <w:tr>
        <w:tc>
          <w:tcPr/>
          <w:p>
            <w:pPr>
              <w:pStyle w:val="Compact"/>
              <w:spacing w:line="240" w:lineRule="auto" w:after="40"/>
              <w:ind w:firstLine="0"/>
            </w:pPr>
            <w:r>
              <w:rPr>
                <w:rFonts w:ascii="Times New Roman" w:hAnsi="Times New Roman" w:eastAsia="Times New Roman"/>
                <w:sz w:val="20"/>
              </w:rPr>
              <w:t xml:space="preserve">CL-015</w:t>
            </w:r>
          </w:p>
        </w:tc>
        <w:tc>
          <w:tcPr/>
          <w:p>
            <w:pPr>
              <w:pStyle w:val="Compact"/>
              <w:spacing w:line="240" w:lineRule="auto" w:after="40"/>
              <w:ind w:firstLine="0"/>
            </w:pPr>
            <w:r>
              <w:rPr>
                <w:rFonts w:ascii="Times New Roman" w:hAnsi="Times New Roman" w:eastAsia="Times New Roman"/>
                <w:sz w:val="20"/>
              </w:rPr>
              <w:t xml:space="preserve">Прямой расчет LVEF по ранним формулам ИКГ не обеспечивал приемлемого согласия с радионуклидными методами</w:t>
            </w:r>
          </w:p>
        </w:tc>
        <w:tc>
          <w:tcPr/>
          <w:p>
            <w:pPr>
              <w:pStyle w:val="Compact"/>
              <w:spacing w:line="240" w:lineRule="auto" w:after="40"/>
              <w:ind w:firstLine="0"/>
            </w:pPr>
            <w:r>
              <w:rPr>
                <w:rFonts w:ascii="Times New Roman" w:hAnsi="Times New Roman" w:eastAsia="Times New Roman"/>
                <w:sz w:val="20"/>
              </w:rPr>
              <w:t xml:space="preserve">EV-026; EV-027; EV-032</w:t>
            </w:r>
          </w:p>
        </w:tc>
        <w:tc>
          <w:tcPr/>
          <w:p>
            <w:pPr>
              <w:pStyle w:val="Compact"/>
              <w:spacing w:line="240" w:lineRule="auto" w:after="40"/>
              <w:ind w:firstLine="0"/>
            </w:pPr>
            <w:r>
              <w:rPr>
                <w:rFonts w:ascii="Times New Roman" w:hAnsi="Times New Roman" w:eastAsia="Times New Roman"/>
                <w:sz w:val="20"/>
              </w:rPr>
              <w:t xml:space="preserve">подтвержден — оставить</w:t>
            </w:r>
          </w:p>
        </w:tc>
      </w:tr>
      <w:tr>
        <w:tc>
          <w:tcPr/>
          <w:p>
            <w:pPr>
              <w:pStyle w:val="Compact"/>
              <w:spacing w:line="240" w:lineRule="auto" w:after="40"/>
              <w:ind w:firstLine="0"/>
            </w:pPr>
            <w:r>
              <w:rPr>
                <w:rFonts w:ascii="Times New Roman" w:hAnsi="Times New Roman" w:eastAsia="Times New Roman"/>
                <w:sz w:val="20"/>
              </w:rPr>
              <w:t xml:space="preserve">CL-016</w:t>
            </w:r>
          </w:p>
        </w:tc>
        <w:tc>
          <w:tcPr/>
          <w:p>
            <w:pPr>
              <w:pStyle w:val="Compact"/>
              <w:spacing w:line="240" w:lineRule="auto" w:after="40"/>
              <w:ind w:firstLine="0"/>
            </w:pPr>
            <w:r>
              <w:rPr>
                <w:rFonts w:ascii="Times New Roman" w:hAnsi="Times New Roman" w:eastAsia="Times New Roman"/>
                <w:sz w:val="20"/>
              </w:rPr>
              <w:t xml:space="preserve">STR и другие временные показатели могут служить лишь косвенными признаками систолической функции</w:t>
            </w:r>
          </w:p>
        </w:tc>
        <w:tc>
          <w:tcPr/>
          <w:p>
            <w:pPr>
              <w:pStyle w:val="Compact"/>
              <w:spacing w:line="240" w:lineRule="auto" w:after="40"/>
              <w:ind w:firstLine="0"/>
            </w:pPr>
            <w:r>
              <w:rPr>
                <w:rFonts w:ascii="Times New Roman" w:hAnsi="Times New Roman" w:eastAsia="Times New Roman"/>
                <w:sz w:val="20"/>
              </w:rPr>
              <w:t xml:space="preserve">EV-029–EV-031</w:t>
            </w:r>
          </w:p>
        </w:tc>
        <w:tc>
          <w:tcPr/>
          <w:p>
            <w:pPr>
              <w:pStyle w:val="Compact"/>
              <w:spacing w:line="240" w:lineRule="auto" w:after="40"/>
              <w:ind w:firstLine="0"/>
            </w:pPr>
            <w:r>
              <w:rPr>
                <w:rFonts w:ascii="Times New Roman" w:hAnsi="Times New Roman" w:eastAsia="Times New Roman"/>
                <w:sz w:val="20"/>
              </w:rPr>
              <w:t xml:space="preserve">ограничен — оставить с границей</w:t>
            </w:r>
          </w:p>
        </w:tc>
      </w:tr>
      <w:tr>
        <w:tc>
          <w:tcPr/>
          <w:p>
            <w:pPr>
              <w:pStyle w:val="Compact"/>
              <w:spacing w:line="240" w:lineRule="auto" w:after="40"/>
              <w:ind w:firstLine="0"/>
            </w:pPr>
            <w:r>
              <w:rPr>
                <w:rFonts w:ascii="Times New Roman" w:hAnsi="Times New Roman" w:eastAsia="Times New Roman"/>
                <w:sz w:val="20"/>
              </w:rPr>
              <w:t xml:space="preserve">CL-017</w:t>
            </w:r>
          </w:p>
        </w:tc>
        <w:tc>
          <w:tcPr/>
          <w:p>
            <w:pPr>
              <w:pStyle w:val="Compact"/>
              <w:spacing w:line="240" w:lineRule="auto" w:after="40"/>
              <w:ind w:firstLine="0"/>
            </w:pPr>
            <w:r>
              <w:rPr>
                <w:rFonts w:ascii="Times New Roman" w:hAnsi="Times New Roman" w:eastAsia="Times New Roman"/>
                <w:sz w:val="20"/>
              </w:rPr>
              <w:t xml:space="preserve">Выбранное уравнение влияет на расчетные значения LVEF и SV</w:t>
            </w:r>
          </w:p>
        </w:tc>
        <w:tc>
          <w:tcPr/>
          <w:p>
            <w:pPr>
              <w:pStyle w:val="Compact"/>
              <w:spacing w:line="240" w:lineRule="auto" w:after="40"/>
              <w:ind w:firstLine="0"/>
            </w:pPr>
            <w:r>
              <w:rPr>
                <w:rFonts w:ascii="Times New Roman" w:hAnsi="Times New Roman" w:eastAsia="Times New Roman"/>
                <w:sz w:val="20"/>
              </w:rPr>
              <w:t xml:space="preserve">EV-011; EV-012; EV-028</w:t>
            </w:r>
          </w:p>
        </w:tc>
        <w:tc>
          <w:tcPr/>
          <w:p>
            <w:pPr>
              <w:pStyle w:val="Compact"/>
              <w:spacing w:line="240" w:lineRule="auto" w:after="40"/>
              <w:ind w:firstLine="0"/>
            </w:pPr>
            <w:r>
              <w:rPr>
                <w:rFonts w:ascii="Times New Roman" w:hAnsi="Times New Roman" w:eastAsia="Times New Roman"/>
                <w:sz w:val="20"/>
              </w:rPr>
              <w:t xml:space="preserve">подтвержден — оставить</w:t>
            </w:r>
          </w:p>
        </w:tc>
      </w:tr>
      <w:tr>
        <w:tc>
          <w:tcPr/>
          <w:p>
            <w:pPr>
              <w:pStyle w:val="Compact"/>
              <w:spacing w:line="240" w:lineRule="auto" w:after="40"/>
              <w:ind w:firstLine="0"/>
            </w:pPr>
            <w:r>
              <w:rPr>
                <w:rFonts w:ascii="Times New Roman" w:hAnsi="Times New Roman" w:eastAsia="Times New Roman"/>
                <w:sz w:val="20"/>
              </w:rPr>
              <w:t xml:space="preserve">CL-018</w:t>
            </w:r>
          </w:p>
        </w:tc>
        <w:tc>
          <w:tcPr/>
          <w:p>
            <w:pPr>
              <w:pStyle w:val="Compact"/>
              <w:spacing w:line="240" w:lineRule="auto" w:after="40"/>
              <w:ind w:firstLine="0"/>
            </w:pPr>
            <w:r>
              <w:rPr>
                <w:rFonts w:ascii="Times New Roman" w:hAnsi="Times New Roman" w:eastAsia="Times New Roman"/>
                <w:sz w:val="20"/>
              </w:rPr>
              <w:t xml:space="preserve">В заданном массиве публикаций нет прямой валидации многоканального прекардиального картирования</w:t>
            </w:r>
          </w:p>
        </w:tc>
        <w:tc>
          <w:tcPr/>
          <w:p>
            <w:pPr>
              <w:pStyle w:val="Compact"/>
              <w:spacing w:line="240" w:lineRule="auto" w:after="40"/>
              <w:ind w:firstLine="0"/>
            </w:pPr>
            <w:r>
              <w:rPr>
                <w:rFonts w:ascii="Times New Roman" w:hAnsi="Times New Roman" w:eastAsia="Times New Roman"/>
                <w:sz w:val="20"/>
              </w:rPr>
              <w:t xml:space="preserve">EV-009; EV-011; EV-013; EV-015</w:t>
            </w:r>
          </w:p>
        </w:tc>
        <w:tc>
          <w:tcPr/>
          <w:p>
            <w:pPr>
              <w:pStyle w:val="Compact"/>
              <w:spacing w:line="240" w:lineRule="auto" w:after="40"/>
              <w:ind w:firstLine="0"/>
            </w:pPr>
            <w:r>
              <w:rPr>
                <w:rFonts w:ascii="Times New Roman" w:hAnsi="Times New Roman" w:eastAsia="Times New Roman"/>
                <w:sz w:val="20"/>
              </w:rPr>
              <w:t xml:space="preserve">ограничен — оставить с границей</w:t>
            </w:r>
          </w:p>
        </w:tc>
      </w:tr>
    </w:tbl>
    <w:p>
      <w:pPr>
        <w:pStyle w:val="BodyText"/>
      </w:pPr>
      <w:r>
        <w:rPr>
          <w:rFonts w:ascii="Times New Roman" w:hAnsi="Times New Roman" w:eastAsia="Times New Roman"/>
          <w:sz w:val="28"/>
        </w:rPr>
        <w:t xml:space="preserve">Полные записи источников, страницы, числовые значения и границы применимости приведены в прилагаемом реестре доказательств. Библиографический список включает все 59 публикаций заданного массива.</w:t>
      </w:r>
    </w:p>
    <w:bookmarkEnd w:id="33"/>
    <w:bookmarkEnd w:id="34"/>
    <w:bookmarkStart w:id="35" w:name="библиографический-список"/>
    <w:p>
      <w:pPr>
        <w:pStyle w:val="Heading1"/>
        <w:ind w:firstLine="0"/>
      </w:pPr>
      <w:r>
        <w:rPr>
          <w:rFonts w:ascii="Times New Roman" w:hAnsi="Times New Roman" w:eastAsia="Times New Roman"/>
          <w:sz w:val="28"/>
        </w:rPr>
        <w:t xml:space="preserve">Библиографический список</w:t>
      </w:r>
    </w:p>
    <w:p>
      <w:pPr>
        <w:pStyle w:val="FirstParagraph"/>
      </w:pPr>
      <w:r>
        <w:rPr>
          <w:rFonts w:ascii="Times New Roman" w:hAnsi="Times New Roman" w:eastAsia="Times New Roman"/>
          <w:sz w:val="28"/>
        </w:rPr>
        <w:t xml:space="preserve">В список включены 59 уникальных источников из библиотеки Zotero. Записи расположены сначала по фамилии первого автора, затем по году публикации.</w:t>
      </w:r>
    </w:p>
    <w:p>
      <w:pPr>
        <w:pStyle w:val="Compact"/>
        <w:numPr>
          <w:ilvl w:val="0"/>
          <w:numId w:val="1004"/>
        </w:numPr>
      </w:pPr>
      <w:r>
        <w:rPr>
          <w:rFonts w:ascii="Times New Roman" w:hAnsi="Times New Roman" w:eastAsia="Times New Roman"/>
          <w:sz w:val="28"/>
        </w:rPr>
        <w:t xml:space="preserve">Altamirano-Diaz L., Welisch E., Dempsey A.A., Park T.S., Grattan M., Norozi K. Non-invasive measurement of cardiac output in children with repaired coarctation of the aorta using electrical cardiometry compared to transthoracic Doppler echocardiography. 2018. Physiological Measurement. 39(5). 055003. doi:10.1088/1361-6579/aac02b.</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Zotero:9NHAZ7IC</w:t>
      </w:r>
    </w:p>
    <w:p>
      <w:pPr>
        <w:pStyle w:val="Compact"/>
        <w:numPr>
          <w:ilvl w:val="0"/>
          <w:numId w:val="1004"/>
        </w:numPr>
      </w:pPr>
      <w:r>
        <w:rPr>
          <w:rFonts w:ascii="Times New Roman" w:hAnsi="Times New Roman" w:eastAsia="Times New Roman"/>
          <w:sz w:val="28"/>
        </w:rPr>
        <w:t xml:space="preserve">Bein B., Renner J. Best practice &amp; research clinical anaesthesiology: Advances in haemodynamic monitoring for the perioperative patient. 2019. Best Practice &amp; Research Clinical Anaesthesiology. 33(2). 139-153. doi:10.1016/j.bpa.2019.05.008.</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Zotero:2PSQNEHA</w:t>
      </w:r>
    </w:p>
    <w:p>
      <w:pPr>
        <w:pStyle w:val="Compact"/>
        <w:numPr>
          <w:ilvl w:val="0"/>
          <w:numId w:val="1004"/>
        </w:numPr>
      </w:pPr>
      <w:r>
        <w:rPr>
          <w:rFonts w:ascii="Times New Roman" w:hAnsi="Times New Roman" w:eastAsia="Times New Roman"/>
          <w:sz w:val="28"/>
        </w:rPr>
        <w:t xml:space="preserve">BERNSTEIN D.P. A new stroke volume equation for thoracic electrical bioimpedance. 1986. Critical Care Medicine. 14(10). 904-909. doi:10.1097/00003246-198610000-00017.</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Zotero:WX77UXWE</w:t>
      </w:r>
    </w:p>
    <w:p>
      <w:pPr>
        <w:pStyle w:val="Compact"/>
        <w:numPr>
          <w:ilvl w:val="0"/>
          <w:numId w:val="1004"/>
        </w:numPr>
      </w:pPr>
      <w:r>
        <w:rPr>
          <w:rFonts w:ascii="Times New Roman" w:hAnsi="Times New Roman" w:eastAsia="Times New Roman"/>
          <w:sz w:val="28"/>
        </w:rPr>
        <w:t xml:space="preserve">Bernstein D.P., Lemmens H.J.M. Stroke volume equation for impedance cardiography. 2005. Medical &amp; Biological Engineering &amp; Computing. 43(4). 443-450. doi:10.1007/BF02344724.</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Zotero:TU2SHRHJ</w:t>
      </w:r>
    </w:p>
    <w:p>
      <w:pPr>
        <w:pStyle w:val="Compact"/>
        <w:numPr>
          <w:ilvl w:val="0"/>
          <w:numId w:val="1004"/>
        </w:numPr>
      </w:pPr>
      <w:r>
        <w:rPr>
          <w:rFonts w:ascii="Times New Roman" w:hAnsi="Times New Roman" w:eastAsia="Times New Roman"/>
          <w:sz w:val="28"/>
        </w:rPr>
        <w:t xml:space="preserve">Blohm M.E., Obrecht D., Hartwich J., Mueller G.C., Kersten J.F., Weil J. et al. Impedance cardiography (electrical velocimetry) and transthoracic echocardiography for non-invasive cardiac output monitoring in pediatric intensive care patients: a prospective single-center observational study. 2014. Critical Care. 18(6). doi:10.1186/s13054-014-0603-0.</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Zotero:SS84XB5Z</w:t>
      </w:r>
    </w:p>
    <w:p>
      <w:pPr>
        <w:pStyle w:val="Compact"/>
        <w:numPr>
          <w:ilvl w:val="0"/>
          <w:numId w:val="1004"/>
        </w:numPr>
      </w:pPr>
      <w:r>
        <w:rPr>
          <w:rFonts w:ascii="Times New Roman" w:hAnsi="Times New Roman" w:eastAsia="Times New Roman"/>
          <w:sz w:val="28"/>
        </w:rPr>
        <w:t xml:space="preserve">Boer P., Roos J.C., Geyskes G.G., Mees E.J. Measurement of cardiac output by impedance cardiography under various conditions. 1979. American Journal of Physiology-Heart and Circulatory Physiology. 237(4). H491-H496. doi:10.1152/ajpheart.1979.237.4.H491.</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Zotero:VK3PCFJV</w:t>
      </w:r>
    </w:p>
    <w:p>
      <w:pPr>
        <w:pStyle w:val="Compact"/>
        <w:numPr>
          <w:ilvl w:val="0"/>
          <w:numId w:val="1004"/>
        </w:numPr>
      </w:pPr>
      <w:r>
        <w:rPr>
          <w:rFonts w:ascii="Times New Roman" w:hAnsi="Times New Roman" w:eastAsia="Times New Roman"/>
          <w:sz w:val="28"/>
        </w:rPr>
        <w:t xml:space="preserve">Boet A., Jourdain G., Demontoux S., De Luca D. Stroke volume and cardiac output evaluation by electrical cardiometry: accuracy and reference nomograms in hemodynamically stable preterm neonates. 2016. Journal of Perinatology. 36(9). 748-752. doi:10.1038/jp.2016.65.</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Zotero:4NACTMC5</w:t>
      </w:r>
    </w:p>
    <w:p>
      <w:pPr>
        <w:pStyle w:val="Compact"/>
        <w:numPr>
          <w:ilvl w:val="0"/>
          <w:numId w:val="1004"/>
        </w:numPr>
      </w:pPr>
      <w:r>
        <w:rPr>
          <w:rFonts w:ascii="Times New Roman" w:hAnsi="Times New Roman" w:eastAsia="Times New Roman"/>
          <w:sz w:val="28"/>
        </w:rPr>
        <w:t xml:space="preserve">BOWLING L.S., SAGEMAN W.S., OʼCONNOR S.M., COLE R., AMUNDSON D.E. Lack of agreement between measurement of ejection fraction by impedance cardiography versus radionuclide ventriculography. 1993. Critical Care Medicine. 21(10). 1523-1527. doi:10.1097/00003246-199310000-00021.</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Zotero:SXQNFSU4</w:t>
      </w:r>
    </w:p>
    <w:p>
      <w:pPr>
        <w:pStyle w:val="Compact"/>
        <w:numPr>
          <w:ilvl w:val="0"/>
          <w:numId w:val="1004"/>
        </w:numPr>
      </w:pPr>
      <w:r>
        <w:rPr>
          <w:rFonts w:ascii="Times New Roman" w:hAnsi="Times New Roman" w:eastAsia="Times New Roman"/>
          <w:sz w:val="28"/>
        </w:rPr>
        <w:t xml:space="preserve">Cecconi M., De Backer D., Antonelli M., Beale R., Bakker J., Hofer C. et al. Consensus on circulatory shock and hemodynamic monitoring. Task force of the European Society of Intensive Care Medicine. 2014. Intensive Care Medicine. 40(12). 1795-1815. doi:10.1007/s00134-014-3525-z.</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Zotero:QTSV7XNJ</w:t>
      </w:r>
    </w:p>
    <w:p>
      <w:pPr>
        <w:pStyle w:val="Compact"/>
        <w:numPr>
          <w:ilvl w:val="0"/>
          <w:numId w:val="1004"/>
        </w:numPr>
      </w:pPr>
      <w:r>
        <w:rPr>
          <w:rFonts w:ascii="Times New Roman" w:hAnsi="Times New Roman" w:eastAsia="Times New Roman"/>
          <w:sz w:val="28"/>
        </w:rPr>
        <w:t xml:space="preserve">Charloux A., Lonsdorfer-Wolf E., Richard R., Lampert E., Oswald-Mammosser M., Mettauer B. et al. A new impedance cardiograph device for the non-invasive evaluation of cardiac output at rest and during exercise: comparison with the</w:t>
      </w:r>
      <w:r>
        <w:rPr>
          <w:rFonts w:ascii="Times New Roman" w:hAnsi="Times New Roman" w:eastAsia="Times New Roman"/>
          <w:sz w:val="28"/>
        </w:rPr>
        <w:t xml:space="preserve"> </w:t>
      </w:r>
      <w:r>
        <w:rPr>
          <w:rFonts w:ascii="Times New Roman" w:hAnsi="Times New Roman" w:eastAsia="Times New Roman"/>
          <w:sz w:val="28"/>
        </w:rPr>
        <w:t xml:space="preserve">“direct”</w:t>
      </w:r>
      <w:r>
        <w:rPr>
          <w:rFonts w:ascii="Times New Roman" w:hAnsi="Times New Roman" w:eastAsia="Times New Roman"/>
          <w:sz w:val="28"/>
        </w:rPr>
        <w:t xml:space="preserve"> </w:t>
      </w:r>
      <w:r>
        <w:rPr>
          <w:rFonts w:ascii="Times New Roman" w:hAnsi="Times New Roman" w:eastAsia="Times New Roman"/>
          <w:sz w:val="28"/>
        </w:rPr>
        <w:t xml:space="preserve">Fick method. 2000. European Journal of Applied Physiology. 82(4). 313-320. doi:10.1007/s004210000226.</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Zotero:Z7ZBPV7W</w:t>
      </w:r>
    </w:p>
    <w:p>
      <w:pPr>
        <w:pStyle w:val="Compact"/>
        <w:numPr>
          <w:ilvl w:val="0"/>
          <w:numId w:val="1004"/>
        </w:numPr>
      </w:pPr>
      <w:r>
        <w:rPr>
          <w:rFonts w:ascii="Times New Roman" w:hAnsi="Times New Roman" w:eastAsia="Times New Roman"/>
          <w:sz w:val="28"/>
        </w:rPr>
        <w:t xml:space="preserve">Chong M.A., Wang Y., Berbenetz N.M., McConachie I. Does goal-directed haemodynamic and fluid therapy improve peri-operative outcomes? 2018. European Journal of Anaesthesiology. 35(7). 469-483. doi:10.1097/EJA.0000000000000778.</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Zotero:BUCR9UBG</w:t>
      </w:r>
    </w:p>
    <w:p>
      <w:pPr>
        <w:pStyle w:val="Compact"/>
        <w:numPr>
          <w:ilvl w:val="0"/>
          <w:numId w:val="1004"/>
        </w:numPr>
      </w:pPr>
      <w:r>
        <w:rPr>
          <w:rFonts w:ascii="Times New Roman" w:hAnsi="Times New Roman" w:eastAsia="Times New Roman"/>
          <w:sz w:val="28"/>
        </w:rPr>
        <w:t xml:space="preserve">Cotter G., Schachner A., Sasson L., Dekel H., Moshkovitz Y. Impedance cardiography revisited. 2006. Physiological Measurement. 27(9). 817-827. doi:10.1088/0967-3334/27/9/005.</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Zotero:76EN9Q6A</w:t>
      </w:r>
    </w:p>
    <w:p>
      <w:pPr>
        <w:pStyle w:val="Compact"/>
        <w:numPr>
          <w:ilvl w:val="0"/>
          <w:numId w:val="1004"/>
        </w:numPr>
      </w:pPr>
      <w:r>
        <w:rPr>
          <w:rFonts w:ascii="Times New Roman" w:hAnsi="Times New Roman" w:eastAsia="Times New Roman"/>
          <w:sz w:val="28"/>
        </w:rPr>
        <w:t xml:space="preserve">Cox P.B.W., den Ouden A.M., Theunissen M., Montenij L.J., Kessels A.G.H., Lancé M.D. et al. Accuracy, Precision, and Trending Ability of Electrical Cardiometry Cardiac Index versus Continuous Pulmonary Artery Thermodilution Method: A Prospective, Observational Study. 2017. BioMed Research International. 2017. 1-8. doi:10.1155/2017/2635151.</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Zotero:QHKPBERQ</w:t>
      </w:r>
    </w:p>
    <w:p>
      <w:pPr>
        <w:pStyle w:val="Compact"/>
        <w:numPr>
          <w:ilvl w:val="0"/>
          <w:numId w:val="1004"/>
        </w:numPr>
      </w:pPr>
      <w:r>
        <w:rPr>
          <w:rFonts w:ascii="Times New Roman" w:hAnsi="Times New Roman" w:eastAsia="Times New Roman"/>
          <w:sz w:val="28"/>
        </w:rPr>
        <w:t xml:space="preserve">Critchley L.A.H., Critchley J.A.J.H. A Meta-Analysis of Studies Using Bias and Precision Statistics to Compare Cardiac Output Measurement Techniques. 1999. Journal of Clinical Monitoring and Computing. 15(2). 85-91. doi:10.1023/A:1009982611386.</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Zotero:BX485JVA</w:t>
      </w:r>
    </w:p>
    <w:p>
      <w:pPr>
        <w:pStyle w:val="Compact"/>
        <w:numPr>
          <w:ilvl w:val="0"/>
          <w:numId w:val="1004"/>
        </w:numPr>
      </w:pPr>
      <w:r>
        <w:rPr>
          <w:rFonts w:ascii="Times New Roman" w:hAnsi="Times New Roman" w:eastAsia="Times New Roman"/>
          <w:sz w:val="28"/>
        </w:rPr>
        <w:t xml:space="preserve">de Keijzer I.N., Scheeren T.W.L. Perioperative Hemodynamic Monitoring. 2021. Anesthesiology Clinics. 39(3). 441-456. doi:10.1016/j.anclin.2021.03.007.</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Zotero:RGRIR2DG</w:t>
      </w:r>
    </w:p>
    <w:p>
      <w:pPr>
        <w:pStyle w:val="Compact"/>
        <w:numPr>
          <w:ilvl w:val="0"/>
          <w:numId w:val="1004"/>
        </w:numPr>
      </w:pPr>
      <w:r>
        <w:rPr>
          <w:rFonts w:ascii="Times New Roman" w:hAnsi="Times New Roman" w:eastAsia="Times New Roman"/>
          <w:sz w:val="28"/>
        </w:rPr>
        <w:t xml:space="preserve">Feng S.M., Liu J. Electrical velocimetry has limited accuracy and precision and moderate trending ability compared with transthoracic echocardiography for cardiac output measurement during cesarean delivery. 2020. Medicine. 99(34). e21914. doi:10.1097/MD.0000000000021914.</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Zotero:TTBLNRTL</w:t>
      </w:r>
    </w:p>
    <w:p>
      <w:pPr>
        <w:pStyle w:val="Compact"/>
        <w:numPr>
          <w:ilvl w:val="0"/>
          <w:numId w:val="1004"/>
        </w:numPr>
      </w:pPr>
      <w:r>
        <w:rPr>
          <w:rFonts w:ascii="Times New Roman" w:hAnsi="Times New Roman" w:eastAsia="Times New Roman"/>
          <w:sz w:val="28"/>
        </w:rPr>
        <w:t xml:space="preserve">Fuller H.D. The validity of cardiac output measurement by thoracic impedance: a meta-analysis. 1992. Clinical and Investigative Medicine. 15(2). 103-112.</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Zotero:CF4I8SVI</w:t>
      </w:r>
    </w:p>
    <w:p>
      <w:pPr>
        <w:pStyle w:val="Compact"/>
        <w:numPr>
          <w:ilvl w:val="0"/>
          <w:numId w:val="1004"/>
        </w:numPr>
      </w:pPr>
      <w:r>
        <w:rPr>
          <w:rFonts w:ascii="Times New Roman" w:hAnsi="Times New Roman" w:eastAsia="Times New Roman"/>
          <w:sz w:val="28"/>
        </w:rPr>
        <w:t xml:space="preserve">Fuller H.D. Evaluation of left ventricular function by impedance cardiography: A review. 1994. Progress in Cardiovascular Diseases. 36(4). 267-273. doi:10.1016/S0033-0620(05)80035-0.</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Zotero:CANN65Q2</w:t>
      </w:r>
    </w:p>
    <w:p>
      <w:pPr>
        <w:pStyle w:val="Compact"/>
        <w:numPr>
          <w:ilvl w:val="0"/>
          <w:numId w:val="1004"/>
        </w:numPr>
      </w:pPr>
      <w:r>
        <w:rPr>
          <w:rFonts w:ascii="Times New Roman" w:hAnsi="Times New Roman" w:eastAsia="Times New Roman"/>
          <w:sz w:val="28"/>
        </w:rPr>
        <w:t xml:space="preserve">Goldstein D.S., Cannon R.O., Zimlichman R., Keiser H.R. Clinical evaluation of impedance cardiography. 1986. Clinical Physiology. 6(3). 235-251. doi:10.1111/j.1475-097X.1986.tb00622.x.</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Zotero:FQM7ZRAS</w:t>
      </w:r>
    </w:p>
    <w:p>
      <w:pPr>
        <w:pStyle w:val="Compact"/>
        <w:numPr>
          <w:ilvl w:val="0"/>
          <w:numId w:val="1004"/>
        </w:numPr>
      </w:pPr>
      <w:r>
        <w:rPr>
          <w:rFonts w:ascii="Times New Roman" w:hAnsi="Times New Roman" w:eastAsia="Times New Roman"/>
          <w:sz w:val="28"/>
        </w:rPr>
        <w:t xml:space="preserve">Greiwe G., Saad R., Hapfelmeier A., Neumann N., Tariparast P., Saugel B. et al. Electrical cardiometry for non-invasive cardiac output monitoring: a method comparison study in patients after coronary artery bypass graft surgery. 2024. Journal of Clinical Monitoring and Computing. 39(2). 371-376. doi:10.1007/s10877-024-01246-y.</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Zotero:GGUPHZI9</w:t>
      </w:r>
    </w:p>
    <w:p>
      <w:pPr>
        <w:pStyle w:val="Compact"/>
        <w:numPr>
          <w:ilvl w:val="0"/>
          <w:numId w:val="1004"/>
        </w:numPr>
      </w:pPr>
      <w:r>
        <w:rPr>
          <w:rFonts w:ascii="Times New Roman" w:hAnsi="Times New Roman" w:eastAsia="Times New Roman"/>
          <w:sz w:val="28"/>
        </w:rPr>
        <w:t xml:space="preserve">Grollmuss O., Demontoux S., Capderou A., Serraf A., Belli E. Electrical velocimetry as a tool for measuring cardiac output in small infants after heart surgery. 2012. Intensive Care Medicine. 38(6). 1032-1039. doi:10.1007/s00134-012-2530-3.</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Zotero:HQVE683T</w:t>
      </w:r>
    </w:p>
    <w:p>
      <w:pPr>
        <w:pStyle w:val="Compact"/>
        <w:numPr>
          <w:ilvl w:val="0"/>
          <w:numId w:val="1004"/>
        </w:numPr>
      </w:pPr>
      <w:r>
        <w:rPr>
          <w:rFonts w:ascii="Times New Roman" w:hAnsi="Times New Roman" w:eastAsia="Times New Roman"/>
          <w:sz w:val="28"/>
        </w:rPr>
        <w:t xml:space="preserve">Heringlake M., Handke U., Hanke T., Eberhardt F., Schumacher J., Gehring H. et al. Lack of agreement between thermodilution and electrical velocimetry cardiac output measurements. 2007. Intensive Care Medicine. 33(12). 2168-2172. doi:10.1007/s00134-007-0828-3.</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Zotero:G48PVZ2K</w:t>
      </w:r>
    </w:p>
    <w:p>
      <w:pPr>
        <w:pStyle w:val="Compact"/>
        <w:numPr>
          <w:ilvl w:val="0"/>
          <w:numId w:val="1004"/>
        </w:numPr>
      </w:pPr>
      <w:r>
        <w:rPr>
          <w:rFonts w:ascii="Times New Roman" w:hAnsi="Times New Roman" w:eastAsia="Times New Roman"/>
          <w:sz w:val="28"/>
        </w:rPr>
        <w:t xml:space="preserve">Hsu K.H., Wu T.W., Wu I.H., Lai M.Y., Hsu S.Y., Huang H.W. et al. Electrical Cardiometry to Monitor Cardiac Output in Preterm Infants with Patent Ductus Arteriosus: A Comparison with Echocardiography. 2017. Neonatology. 112(3). 231-237. doi:10.1159/000475774.</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Zotero:CWDA42JG</w:t>
      </w:r>
    </w:p>
    <w:p>
      <w:pPr>
        <w:pStyle w:val="Compact"/>
        <w:numPr>
          <w:ilvl w:val="0"/>
          <w:numId w:val="1004"/>
        </w:numPr>
      </w:pPr>
      <w:r>
        <w:rPr>
          <w:rFonts w:ascii="Times New Roman" w:hAnsi="Times New Roman" w:eastAsia="Times New Roman"/>
          <w:sz w:val="28"/>
        </w:rPr>
        <w:t xml:space="preserve">Jensen L., Yakimets J., Teo K.K. A review of impedance cardiography. 1995. Heart &amp; Lung. 24(3). 183-193. doi:10.1016/S0147-9563(05)80036-6.</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Zotero:9W4HCNS3</w:t>
      </w:r>
    </w:p>
    <w:p>
      <w:pPr>
        <w:pStyle w:val="Compact"/>
        <w:numPr>
          <w:ilvl w:val="0"/>
          <w:numId w:val="1004"/>
        </w:numPr>
      </w:pPr>
      <w:r>
        <w:rPr>
          <w:rFonts w:ascii="Times New Roman" w:hAnsi="Times New Roman" w:eastAsia="Times New Roman"/>
          <w:sz w:val="28"/>
        </w:rPr>
        <w:t xml:space="preserve">Jozwiak M., Monnet X., Teboul J.L. Monitoring. 2015. Current Opinion in Critical Care. 21(5). 395-401. doi:10.1097/MCC.0000000000000236.</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Zotero:NK8R3ZWI</w:t>
      </w:r>
    </w:p>
    <w:p>
      <w:pPr>
        <w:pStyle w:val="Compact"/>
        <w:numPr>
          <w:ilvl w:val="0"/>
          <w:numId w:val="1004"/>
        </w:numPr>
      </w:pPr>
      <w:r>
        <w:rPr>
          <w:rFonts w:ascii="Times New Roman" w:hAnsi="Times New Roman" w:eastAsia="Times New Roman"/>
          <w:sz w:val="28"/>
        </w:rPr>
        <w:t xml:space="preserve">Kaszuba E., Scheel S., Odeberg H.k., Halling A. Comparing impedance cardiography and echocardiography in the assessment of reduced left ventricular systolic function. 2013. BMC Research Notes. 6(1). doi:10.1186/1756-0500-6-114.</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Zotero:4A4BBND3</w:t>
      </w:r>
    </w:p>
    <w:p>
      <w:pPr>
        <w:pStyle w:val="Compact"/>
        <w:numPr>
          <w:ilvl w:val="0"/>
          <w:numId w:val="1004"/>
        </w:numPr>
      </w:pPr>
      <w:r>
        <w:rPr>
          <w:rFonts w:ascii="Times New Roman" w:hAnsi="Times New Roman" w:eastAsia="Times New Roman"/>
          <w:sz w:val="28"/>
        </w:rPr>
        <w:t xml:space="preserve">Kubicek W.G., Karnegis J.N., Patterson R.P., Witsoe D.A., Mattson R.H. Development and evaluation of an impedance cardiac output system. 1966. Aerospace Medicine. 37(12). 1208-1212.</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Zotero:TV2CRANX</w:t>
      </w:r>
    </w:p>
    <w:p>
      <w:pPr>
        <w:pStyle w:val="Compact"/>
        <w:numPr>
          <w:ilvl w:val="0"/>
          <w:numId w:val="1004"/>
        </w:numPr>
      </w:pPr>
      <w:r>
        <w:rPr>
          <w:rFonts w:ascii="Times New Roman" w:hAnsi="Times New Roman" w:eastAsia="Times New Roman"/>
          <w:sz w:val="28"/>
        </w:rPr>
        <w:t xml:space="preserve">McDonagh T.A., Metra M., Adamo M., Gardner R.S., Baumbach A., Böhm M. et al. 2021 ESC Guidelines for the diagnosis and treatment of acute and chronic heart failure. 2021. European Heart Journal. 42(36). 3599-3726. doi:10.1093/eurheartj/ehab368.</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Zotero:IAEHUPF7</w:t>
      </w:r>
    </w:p>
    <w:p>
      <w:pPr>
        <w:pStyle w:val="Compact"/>
        <w:numPr>
          <w:ilvl w:val="0"/>
          <w:numId w:val="1004"/>
        </w:numPr>
      </w:pPr>
      <w:r>
        <w:rPr>
          <w:rFonts w:ascii="Times New Roman" w:hAnsi="Times New Roman" w:eastAsia="Times New Roman"/>
          <w:sz w:val="28"/>
        </w:rPr>
        <w:t xml:space="preserve">Meer N.J.M., Oomen M.W.N., Noordegraaf A., Pijpers R.J., Plaizier M.A.B.D., Vries P.M.J.M. Does impedance cardiography reliably estimate left ventricular ejection fraction? 1996. Journal of Clinical Monitoring. 12(1). 5-9. doi:10.1007/BF02025304.</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Zotero:BC68E8GK</w:t>
      </w:r>
    </w:p>
    <w:p>
      <w:pPr>
        <w:pStyle w:val="Compact"/>
        <w:numPr>
          <w:ilvl w:val="0"/>
          <w:numId w:val="1004"/>
        </w:numPr>
      </w:pPr>
      <w:r>
        <w:rPr>
          <w:rFonts w:ascii="Times New Roman" w:hAnsi="Times New Roman" w:eastAsia="Times New Roman"/>
          <w:sz w:val="28"/>
        </w:rPr>
        <w:t xml:space="preserve">Mekiš D., Kamenik M., Starc V., Jeretin S. Cardiac output measurements with electrical velocimetry in patients undergoing CABG surgery. 2008. European Journal of Anaesthesiology. 25(3). 237-242. doi:10.1017/S0265021507002669.</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Zotero:TFWNH3VK</w:t>
      </w:r>
    </w:p>
    <w:p>
      <w:pPr>
        <w:pStyle w:val="Compact"/>
        <w:numPr>
          <w:ilvl w:val="0"/>
          <w:numId w:val="1004"/>
        </w:numPr>
      </w:pPr>
      <w:r>
        <w:rPr>
          <w:rFonts w:ascii="Times New Roman" w:hAnsi="Times New Roman" w:eastAsia="Times New Roman"/>
          <w:sz w:val="28"/>
        </w:rPr>
        <w:t xml:space="preserve">Mensah G.A., Fuster V., Murray C.J.L., Roth G.A., Mensah G.A., Abate Y.H. et al. Global Burden of Cardiovascular Diseases and Risks, 1990-2022. 2023. Journal of the American College of Cardiology. 82(25). 2350-2473. doi:10.1016/j.jacc.2023.11.007.</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Zotero:W6SE58XU</w:t>
      </w:r>
    </w:p>
    <w:p>
      <w:pPr>
        <w:pStyle w:val="Compact"/>
        <w:numPr>
          <w:ilvl w:val="0"/>
          <w:numId w:val="1004"/>
        </w:numPr>
      </w:pPr>
      <w:r>
        <w:rPr>
          <w:rFonts w:ascii="Times New Roman" w:hAnsi="Times New Roman" w:eastAsia="Times New Roman"/>
          <w:sz w:val="28"/>
        </w:rPr>
        <w:t xml:space="preserve">MILES D.S., GOTSHALL R.W., QUINONES J.D., WULFECK D.W., KREITZER R.D. Impedance cardiography fails to measure accurately left ventricular ejection fraction. 1990. Critical Care Medicine. 18(2). 221-228. doi:10.1097/00003246-199002000-00019.</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Zotero:MCVHV3JZ</w:t>
      </w:r>
    </w:p>
    <w:p>
      <w:pPr>
        <w:pStyle w:val="Compact"/>
        <w:numPr>
          <w:ilvl w:val="0"/>
          <w:numId w:val="1004"/>
        </w:numPr>
      </w:pPr>
      <w:r>
        <w:rPr>
          <w:rFonts w:ascii="Times New Roman" w:hAnsi="Times New Roman" w:eastAsia="Times New Roman"/>
          <w:sz w:val="28"/>
        </w:rPr>
        <w:t xml:space="preserve">Monnet X., Messina A., Greco M., Bakker J., Aissaoui N., Cecconi M. et al. ESICM guidelines on circulatory shock and hemodynamic monitoring 2025. 2025. Intensive Care Medicine. 51(11). 1971-2012. doi:10.1007/s00134-025-08137-z.</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Zotero:ZNJC9Q47</w:t>
      </w:r>
    </w:p>
    <w:p>
      <w:pPr>
        <w:pStyle w:val="Compact"/>
        <w:numPr>
          <w:ilvl w:val="0"/>
          <w:numId w:val="1004"/>
        </w:numPr>
      </w:pPr>
      <w:r>
        <w:rPr>
          <w:rFonts w:ascii="Times New Roman" w:hAnsi="Times New Roman" w:eastAsia="Times New Roman"/>
          <w:sz w:val="28"/>
        </w:rPr>
        <w:t xml:space="preserve">Narula J., Chauhan S., Ramakrishnan S., Gupta S.K. Electrical Cardiometry: A Reliable Solution to Cardiac Output Estimation in Children With Structural Heart Disease. 2017. Journal of Cardiothoracic and Vascular Anesthesia. 31(3). 912-917. doi:10.1053/j.jvca.2016.12.009.</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Zotero:WABWSWPT</w:t>
      </w:r>
    </w:p>
    <w:p>
      <w:pPr>
        <w:pStyle w:val="Compact"/>
        <w:numPr>
          <w:ilvl w:val="0"/>
          <w:numId w:val="1004"/>
        </w:numPr>
      </w:pPr>
      <w:r>
        <w:rPr>
          <w:rFonts w:ascii="Times New Roman" w:hAnsi="Times New Roman" w:eastAsia="Times New Roman"/>
          <w:sz w:val="28"/>
        </w:rPr>
        <w:t xml:space="preserve">Newman D.G., Callister R. The non-invasive assessment of stroke volume and cardiac output by impedance cardiography: a review. 1999. Aviation, Space, and Environmental Medicine. 70(8). 780-789.</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Zotero:BDQQ667F</w:t>
      </w:r>
    </w:p>
    <w:p>
      <w:pPr>
        <w:pStyle w:val="Compact"/>
        <w:numPr>
          <w:ilvl w:val="0"/>
          <w:numId w:val="1004"/>
        </w:numPr>
      </w:pPr>
      <w:r>
        <w:rPr>
          <w:rFonts w:ascii="Times New Roman" w:hAnsi="Times New Roman" w:eastAsia="Times New Roman"/>
          <w:sz w:val="28"/>
        </w:rPr>
        <w:t xml:space="preserve">Noori S., Drabu B., Soleymani S., Seri I. Continuous non-invasive cardiac output measurements in the neonate by electrical velocimetry: a comparison with echocardiography. 2012. Archives of Disease in Childhood - Fetal and Neonatal Edition. 97(5). F340-F343. doi:10.1136/fetalneonatal-2011-301090.</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Zotero:KISTS8R8</w:t>
      </w:r>
    </w:p>
    <w:p>
      <w:pPr>
        <w:pStyle w:val="Compact"/>
        <w:numPr>
          <w:ilvl w:val="0"/>
          <w:numId w:val="1004"/>
        </w:numPr>
      </w:pPr>
      <w:r>
        <w:rPr>
          <w:rFonts w:ascii="Times New Roman" w:hAnsi="Times New Roman" w:eastAsia="Times New Roman"/>
          <w:sz w:val="28"/>
        </w:rPr>
        <w:t xml:space="preserve">Norozi K., Beck C., Osthaus W.A., Wille I., Wessel A., Bertram H. Electrical velocimetry for measuring cardiac output in children with congenital heart disease. 2008. British Journal of Anaesthesia. 100(1). 88-94. doi:10.1093/bja/aem320.</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Zotero:EDX22DP4</w:t>
      </w:r>
    </w:p>
    <w:p>
      <w:pPr>
        <w:pStyle w:val="Compact"/>
        <w:numPr>
          <w:ilvl w:val="0"/>
          <w:numId w:val="1004"/>
        </w:numPr>
      </w:pPr>
      <w:r>
        <w:rPr>
          <w:rFonts w:ascii="Times New Roman" w:hAnsi="Times New Roman" w:eastAsia="Times New Roman"/>
          <w:sz w:val="28"/>
        </w:rPr>
        <w:t xml:space="preserve">Osypka M.J., Bernstein D.P. Electrophysiologic Principles and Theory of Stroke Volume Determination by Thoracic Electrical Bioimpedance. 1999. AACN Clinical Issues: Advanced Practice in Acute and Critical Care. 10(3). 385-399. doi:10.1097/00044067-199908000-00008.</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Zotero:SPZQA7R4</w:t>
      </w:r>
    </w:p>
    <w:p>
      <w:pPr>
        <w:pStyle w:val="Compact"/>
        <w:numPr>
          <w:ilvl w:val="0"/>
          <w:numId w:val="1004"/>
        </w:numPr>
      </w:pPr>
      <w:r>
        <w:rPr>
          <w:rFonts w:ascii="Times New Roman" w:hAnsi="Times New Roman" w:eastAsia="Times New Roman"/>
          <w:sz w:val="28"/>
        </w:rPr>
        <w:t xml:space="preserve">Parrott C.W., Burnham K.M., Quale C., Lewis D.L. Comparison of Changes in Ejection Fraction to Changes in Impedance Cardiography Cardiac Index and Systolic Time Ratio. 2004. Congestive Heart Failure. 10(s2). 11-13. doi:10.1111/j.1527-5299.2004.03407.x.</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Zotero:PEZ8IDN2</w:t>
      </w:r>
    </w:p>
    <w:p>
      <w:pPr>
        <w:pStyle w:val="Compact"/>
        <w:numPr>
          <w:ilvl w:val="0"/>
          <w:numId w:val="1004"/>
        </w:numPr>
      </w:pPr>
      <w:r>
        <w:rPr>
          <w:rFonts w:ascii="Times New Roman" w:hAnsi="Times New Roman" w:eastAsia="Times New Roman"/>
          <w:sz w:val="28"/>
        </w:rPr>
        <w:t xml:space="preserve">Petter H., Erik A., Björn E., Göran R.d. Measurement of cardiac output with non-invasive Aesculon® impedance versus thermodilution. 2010. Clinical Physiology and Functional Imaging. 31(1). 39-47. doi:10.1111/j.1475-097X.2010.00977.x.</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Zotero:2EW8XB4B</w:t>
      </w:r>
    </w:p>
    <w:p>
      <w:pPr>
        <w:pStyle w:val="Compact"/>
        <w:numPr>
          <w:ilvl w:val="0"/>
          <w:numId w:val="1004"/>
        </w:numPr>
      </w:pPr>
      <w:r>
        <w:rPr>
          <w:rFonts w:ascii="Times New Roman" w:hAnsi="Times New Roman" w:eastAsia="Times New Roman"/>
          <w:sz w:val="28"/>
        </w:rPr>
        <w:t xml:space="preserve">Pickett B.R., Buell J.C. Validity of cardiac output measurement by computer-averaged impedance cardiography, and comparison with simultaneous thermodilution determinations. 1992. The American Journal of Cardiology. 69(16). 1354-1358. doi:10.1016/0002-9149(92)91235-V.</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Zotero:8JKRBJB7</w:t>
      </w:r>
    </w:p>
    <w:p>
      <w:pPr>
        <w:pStyle w:val="Compact"/>
        <w:numPr>
          <w:ilvl w:val="0"/>
          <w:numId w:val="1004"/>
        </w:numPr>
      </w:pPr>
      <w:r>
        <w:rPr>
          <w:rFonts w:ascii="Times New Roman" w:hAnsi="Times New Roman" w:eastAsia="Times New Roman"/>
          <w:sz w:val="28"/>
        </w:rPr>
        <w:t xml:space="preserve">Raue W., Swierzy M., Koplin G., Schwenk W. Comparison of electrical velocimetry and transthoracic thermodilution technique for cardiac output assessment in critically ill patients. 2009. European Journal of Anaesthesiology. 26(12). 1067-1071. doi:10.1097/EJA.0b013e32832bfd94.</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Zotero:ZBX2KXIA</w:t>
      </w:r>
    </w:p>
    <w:p>
      <w:pPr>
        <w:pStyle w:val="Compact"/>
        <w:numPr>
          <w:ilvl w:val="0"/>
          <w:numId w:val="1004"/>
        </w:numPr>
      </w:pPr>
      <w:r>
        <w:rPr>
          <w:rFonts w:ascii="Times New Roman" w:hAnsi="Times New Roman" w:eastAsia="Times New Roman"/>
          <w:sz w:val="28"/>
        </w:rPr>
        <w:t xml:space="preserve">Sanders M., Servaas S., Slagt C. Accuracy and precision of non-invasive cardiac output monitoring by electrical cardiometry: a systematic review and meta-analysis. 2019. Journal of Clinical Monitoring and Computing. 34(3). 433-460. doi:10.1007/s10877-019-00330-y.</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Zotero:8JWJRAVJ</w:t>
      </w:r>
    </w:p>
    <w:p>
      <w:pPr>
        <w:pStyle w:val="Compact"/>
        <w:numPr>
          <w:ilvl w:val="0"/>
          <w:numId w:val="1004"/>
        </w:numPr>
      </w:pPr>
      <w:r>
        <w:rPr>
          <w:rFonts w:ascii="Times New Roman" w:hAnsi="Times New Roman" w:eastAsia="Times New Roman"/>
          <w:sz w:val="28"/>
        </w:rPr>
        <w:t xml:space="preserve">Savarese G., Becher P.M., Lund L.H., Seferovic P., Rosano G.M.C., Coats A.J.S. Global burden of heart failure: a comprehensive and updated review of epidemiology. 2022. Cardiovascular Research. 118(17). 3272-3287. doi:10.1093/cvr/cvac013.</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Zotero:KRUICEIX</w:t>
      </w:r>
    </w:p>
    <w:p>
      <w:pPr>
        <w:pStyle w:val="Compact"/>
        <w:numPr>
          <w:ilvl w:val="0"/>
          <w:numId w:val="1004"/>
        </w:numPr>
      </w:pPr>
      <w:r>
        <w:rPr>
          <w:rFonts w:ascii="Times New Roman" w:hAnsi="Times New Roman" w:eastAsia="Times New Roman"/>
          <w:sz w:val="28"/>
        </w:rPr>
        <w:t xml:space="preserve">Scherhag A., Kaden J.J., Kentschke E., Sueselbeck T., Borggrefe M. Comparison of Impedance Cardiography and Thermodilution-Derived Measurements of Stroke Volume and Cardiac Output at Rest and During Exercise Testing. 2005. Cardiovascular Drugs and Therapy. 19(2). 141-147. doi:10.1007/s10557-005-1048-0.</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Zotero:ISW2MKUD</w:t>
      </w:r>
    </w:p>
    <w:p>
      <w:pPr>
        <w:pStyle w:val="Compact"/>
        <w:numPr>
          <w:ilvl w:val="0"/>
          <w:numId w:val="1004"/>
        </w:numPr>
      </w:pPr>
      <w:r>
        <w:rPr>
          <w:rFonts w:ascii="Times New Roman" w:hAnsi="Times New Roman" w:eastAsia="Times New Roman"/>
          <w:sz w:val="28"/>
        </w:rPr>
        <w:t xml:space="preserve">Schmidt C., Theilmeier G., Aken H.V., Korsmeier P., Wirtz S.P., Berendes E. et al. Comparison of electrical velocimetry and transoesophageal Doppler echocardiography for measuring stroke volume and cardiac output † †Declaration of interest. This study was supported by Osypka Medical GmbH, Berlin, Germany. 2005. British Journal of Anaesthesia. 95(5). 603-610. doi:10.1093/bja/aei224.</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Zotero:HX3WCFV7</w:t>
      </w:r>
    </w:p>
    <w:p>
      <w:pPr>
        <w:pStyle w:val="Compact"/>
        <w:numPr>
          <w:ilvl w:val="0"/>
          <w:numId w:val="1004"/>
        </w:numPr>
      </w:pPr>
      <w:r>
        <w:rPr>
          <w:rFonts w:ascii="Times New Roman" w:hAnsi="Times New Roman" w:eastAsia="Times New Roman"/>
          <w:sz w:val="28"/>
        </w:rPr>
        <w:t xml:space="preserve">Sherwood(Chair) A., Allen M.T., Fahrenberg J., Kelsey R.M., Lovallo W.R., van Doornen L.J.P. Methodological Guidelines for Impedance Cardiography. 1990. Psychophysiology. 27(1). 1-23. doi:10.1111/j.1469-8986.1990.tb02171.x.</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Zotero:N5ZN33ZD</w:t>
      </w:r>
    </w:p>
    <w:p>
      <w:pPr>
        <w:pStyle w:val="Compact"/>
        <w:numPr>
          <w:ilvl w:val="0"/>
          <w:numId w:val="1004"/>
        </w:numPr>
      </w:pPr>
      <w:r>
        <w:rPr>
          <w:rFonts w:ascii="Times New Roman" w:hAnsi="Times New Roman" w:eastAsia="Times New Roman"/>
          <w:sz w:val="28"/>
        </w:rPr>
        <w:t xml:space="preserve">Smith S.A., Russell A.E., West M.J., Chalmers J. Automated non-invasive measurement of cardiac output: comparison of electrical bioimpedance and carbon dioxide rebreathing techniques. 1988. Heart. 59(3). 292-298. doi:10.1136/hrt.59.3.292.</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Zotero:U3TUKU8E</w:t>
      </w:r>
    </w:p>
    <w:p>
      <w:pPr>
        <w:pStyle w:val="Compact"/>
        <w:numPr>
          <w:ilvl w:val="0"/>
          <w:numId w:val="1004"/>
        </w:numPr>
      </w:pPr>
      <w:r>
        <w:rPr>
          <w:rFonts w:ascii="Times New Roman" w:hAnsi="Times New Roman" w:eastAsia="Times New Roman"/>
          <w:sz w:val="28"/>
        </w:rPr>
        <w:t xml:space="preserve">Sodolski T., Kutarski A. Impedance cardiography: A valuable method of evaluating haemodynamic parameters. 2007. Cardiology Journal. 14(2). 115-126.</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Zotero:2EAQ37CN</w:t>
      </w:r>
    </w:p>
    <w:p>
      <w:pPr>
        <w:pStyle w:val="Compact"/>
        <w:numPr>
          <w:ilvl w:val="0"/>
          <w:numId w:val="1004"/>
        </w:numPr>
      </w:pPr>
      <w:r>
        <w:rPr>
          <w:rFonts w:ascii="Times New Roman" w:hAnsi="Times New Roman" w:eastAsia="Times New Roman"/>
          <w:sz w:val="28"/>
        </w:rPr>
        <w:t xml:space="preserve">Spiering W., van Es P.N., de Leeuw P.W. Comparison of impedance cardiography and dye dilution method for measuring cardiac output. 1998. Heart. 79(5). 437-441. doi:10.1136/hrt.79.5.437.</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Zotero:RB87XMRW</w:t>
      </w:r>
    </w:p>
    <w:p>
      <w:pPr>
        <w:pStyle w:val="Compact"/>
        <w:numPr>
          <w:ilvl w:val="0"/>
          <w:numId w:val="1004"/>
        </w:numPr>
      </w:pPr>
      <w:r>
        <w:rPr>
          <w:rFonts w:ascii="Times New Roman" w:hAnsi="Times New Roman" w:eastAsia="Times New Roman"/>
          <w:sz w:val="28"/>
        </w:rPr>
        <w:t xml:space="preserve">Thomas S.H. Impedance cardiography using the Sramek–Bernstein method: accuracy and variability at rest and during exercise. 1992. British Journal of Clinical Pharmacology. 34(6). 467-476.</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Zotero:2QCNIHMN</w:t>
      </w:r>
    </w:p>
    <w:p>
      <w:pPr>
        <w:pStyle w:val="Compact"/>
        <w:numPr>
          <w:ilvl w:val="0"/>
          <w:numId w:val="1004"/>
        </w:numPr>
      </w:pPr>
      <w:r>
        <w:rPr>
          <w:rFonts w:ascii="Times New Roman" w:hAnsi="Times New Roman" w:eastAsia="Times New Roman"/>
          <w:sz w:val="28"/>
        </w:rPr>
        <w:t xml:space="preserve">THOMAS S.H.L., CROWTHER A. Impedance cardiography during exercise in patients with coronary heart disease. 1993. European Heart Journal. 14(2). 150-159. doi:10.1093/eurheartj/14.2.150.</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Zotero:4VZBDFRD</w:t>
      </w:r>
    </w:p>
    <w:p>
      <w:pPr>
        <w:pStyle w:val="Compact"/>
        <w:numPr>
          <w:ilvl w:val="0"/>
          <w:numId w:val="1004"/>
        </w:numPr>
      </w:pPr>
      <w:r>
        <w:rPr>
          <w:rFonts w:ascii="Times New Roman" w:hAnsi="Times New Roman" w:eastAsia="Times New Roman"/>
          <w:sz w:val="28"/>
        </w:rPr>
        <w:t xml:space="preserve">Thompson B., Drazner M.H., Dries D.L., Yancy C.W. Systolic Time Ratio by Impedance Cardiography to Distinguish Preserved vs Impaired Left Ventricular Systolic Function in Heart Failure. 2008. Congestive Heart Failure. 14(5). 261-265. doi:10.1111/j.1751-7133.2008.00001.x.</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Zotero:NFFHGJVW</w:t>
      </w:r>
    </w:p>
    <w:p>
      <w:pPr>
        <w:pStyle w:val="Compact"/>
        <w:numPr>
          <w:ilvl w:val="0"/>
          <w:numId w:val="1004"/>
        </w:numPr>
      </w:pPr>
      <w:r>
        <w:rPr>
          <w:rFonts w:ascii="Times New Roman" w:hAnsi="Times New Roman" w:eastAsia="Times New Roman"/>
          <w:sz w:val="28"/>
        </w:rPr>
        <w:t xml:space="preserve">Tomaske M., Knirsch W., Kretschmar O., Woitzek K., Balmer C., Schmitz A. et al. Cardiac output measurement in children: comparison of Aesculon® cardiac output monitor and thermodilution. 2008. British Journal of Anaesthesia. 100(4). 517-520. doi:10.1093/bja/aen024.</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Zotero:PF2NDTSA</w:t>
      </w:r>
    </w:p>
    <w:p>
      <w:pPr>
        <w:pStyle w:val="Compact"/>
        <w:numPr>
          <w:ilvl w:val="0"/>
          <w:numId w:val="1004"/>
        </w:numPr>
      </w:pPr>
      <w:r>
        <w:rPr>
          <w:rFonts w:ascii="Times New Roman" w:hAnsi="Times New Roman" w:eastAsia="Times New Roman"/>
          <w:sz w:val="28"/>
        </w:rPr>
        <w:t xml:space="preserve">Trinkmann F., Berger M., Hoffmann U., Borggrefe M., Kaden J.J., Saur J. A comparative evaluation of electrical velocimetry and inert gas rebreathing for the non-invasive assessment of cardiac output. 2011. Clinical Research in Cardiology. 100(10). 935-943. doi:10.1007/s00392-011-0329-9.</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Zotero:WBJWHA2M</w:t>
      </w:r>
    </w:p>
    <w:p>
      <w:pPr>
        <w:pStyle w:val="Compact"/>
        <w:numPr>
          <w:ilvl w:val="0"/>
          <w:numId w:val="1004"/>
        </w:numPr>
      </w:pPr>
      <w:r>
        <w:rPr>
          <w:rFonts w:ascii="Times New Roman" w:hAnsi="Times New Roman" w:eastAsia="Times New Roman"/>
          <w:sz w:val="28"/>
        </w:rPr>
        <w:t xml:space="preserve">Van De Water J.M., Miller T.W., Vogel R.L., Mount B.E., Dalton M.L. Impedance Cardiographya. 2003. Chest. 123(6). 2028-2033. doi:10.1378/chest.123.6.2028.</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Zotero:CAGGEQ25</w:t>
      </w:r>
    </w:p>
    <w:p>
      <w:pPr>
        <w:pStyle w:val="Compact"/>
        <w:numPr>
          <w:ilvl w:val="0"/>
          <w:numId w:val="1004"/>
        </w:numPr>
      </w:pPr>
      <w:r>
        <w:rPr>
          <w:rFonts w:ascii="Times New Roman" w:hAnsi="Times New Roman" w:eastAsia="Times New Roman"/>
          <w:sz w:val="28"/>
        </w:rPr>
        <w:t xml:space="preserve">Villacorta Junior H., Villacorta A.S., Amador F., Hadlich M., Albuquerque D.C.d., Azevedo C.F. Bioimpedância transtorácica comparada à ressonância magnética na avaliação do débito cardíaco. 2012. Arquivos Brasileiros de Cardiologia. 99(6). 1149-1155. doi:10.1590/S0066-782X2012005000104.</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Zotero:JIW45UH5</w:t>
      </w:r>
    </w:p>
    <w:p>
      <w:pPr>
        <w:pStyle w:val="Compact"/>
        <w:numPr>
          <w:ilvl w:val="0"/>
          <w:numId w:val="1004"/>
        </w:numPr>
      </w:pPr>
      <w:r>
        <w:rPr>
          <w:rFonts w:ascii="Times New Roman" w:hAnsi="Times New Roman" w:eastAsia="Times New Roman"/>
          <w:sz w:val="28"/>
        </w:rPr>
        <w:t xml:space="preserve">Wang D.J., Lee I.S., Chou A.H., Chen C.Y., Ting P.C., Teng Y.H. et al. Non-invasive cardiac output measurement with electrical velocimetry in patients undergoing liver transplantation: comparison of an invasive method with pulmonary thermodilution. 2018. BMC Anesthesiology. 18(1). doi:10.1186/s12871-018-0600-y.</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Zotero:KINHB88N</w:t>
      </w:r>
    </w:p>
    <w:p>
      <w:pPr>
        <w:pStyle w:val="Compact"/>
        <w:numPr>
          <w:ilvl w:val="0"/>
          <w:numId w:val="1004"/>
        </w:numPr>
      </w:pPr>
      <w:r>
        <w:rPr>
          <w:rFonts w:ascii="Times New Roman" w:hAnsi="Times New Roman" w:eastAsia="Times New Roman"/>
          <w:sz w:val="28"/>
        </w:rPr>
        <w:t xml:space="preserve">Zoremba N., Bickenbach J., Krauss B., Rossaint R., Kuhlen R., Schälte G. Comparison of electrical velocimetry and thermodilution techniques for the measurement of cardiac output. 2007. Acta Anaesthesiologica Scandinavica. 51(10). 1314-1319. doi:10.1111/j.1399-6576.2007.01445.x.</w:t>
      </w:r>
      <w:r>
        <w:rPr>
          <w:rFonts w:ascii="Times New Roman" w:hAnsi="Times New Roman" w:eastAsia="Times New Roman"/>
          <w:sz w:val="28"/>
        </w:rPr>
        <w:t xml:space="preserve"> </w:t>
      </w:r>
      <w:r>
        <w:rPr>
          <w:rStyle w:val="VerbatimChar"/>
          <w:rFonts w:ascii="Times New Roman" w:hAnsi="Times New Roman" w:eastAsia="Times New Roman"/>
          <w:sz w:val="28"/>
        </w:rPr>
        <w:t xml:space="preserve">Zotero:Q3TSQIRI</w:t>
      </w:r>
    </w:p>
    <w:bookmarkEnd w:id="35"/>
    <w:sectPr>
      <w:footerReference w:type="default" r:id="rId9"/>
      <w:footnotePr>
        <w:numRestart w:val="eachSect"/>
      </w:footnotePr>
      <w:pgMar w:top="1134" w:bottom="1134" w:left="1701" w:right="850" w:header="709" w:footer="7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Times New Roman"/>
        <w:sz w:val="24"/>
      </w:rPr>
      <w:fldChar w:fldCharType="begin"/>
      <w:instrText xml:space="preserve"> PAGE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0" w:before="0"/>
      <w:ind w:firstLine="709"/>
      <w:jc w:val="both"/>
    </w:pPr>
    <w:rPr>
      <w:rFonts w:ascii="Times New Roman" w:hAnsi="Times New Roman" w:eastAsia="Times New Roman"/>
      <w:b w:val="0"/>
      <w:sz w:val="28"/>
    </w:rPr>
  </w:style>
  <w:style w:styleId="BodyText" w:type="paragraph">
    <w:name w:val="Body Text"/>
    <w:basedOn w:val="Normal"/>
    <w:link w:val="BodyTextChar"/>
    <w:qFormat/>
    <w:pPr>
      <w:spacing w:after="0" w:before="0" w:line="360" w:lineRule="auto"/>
      <w:ind w:firstLine="709"/>
      <w:jc w:val="both"/>
    </w:pPr>
    <w:rPr>
      <w:rFonts w:ascii="Times New Roman" w:hAnsi="Times New Roman" w:eastAsia="Times New Roman"/>
      <w:b w:val="0"/>
      <w:sz w:val="28"/>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360" w:lineRule="auto"/>
      <w:ind w:firstLine="0"/>
      <w:jc w:val="center"/>
      <w:outlineLvl w:val="0"/>
    </w:pPr>
    <w:rPr>
      <w:rFonts w:asciiTheme="majorHAnsi" w:cstheme="majorBidi" w:eastAsiaTheme="majorEastAsia" w:hAnsiTheme="majorHAnsi" w:ascii="Times New Roman" w:hAnsi="Times New Roman" w:eastAsia="Times New Roman"/>
      <w:b/>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160" w:line="360" w:lineRule="auto"/>
      <w:ind w:firstLine="0"/>
      <w:jc w:val="left"/>
      <w:outlineLvl w:val="1"/>
    </w:pPr>
    <w:rPr>
      <w:rFonts w:asciiTheme="majorHAnsi" w:cstheme="majorBidi" w:eastAsiaTheme="majorEastAsia" w:hAnsiTheme="majorHAnsi" w:ascii="Times New Roman" w:hAnsi="Times New Roman" w:eastAsia="Times New Roman"/>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160" w:line="360" w:lineRule="auto"/>
      <w:ind w:firstLine="0"/>
      <w:jc w:val="left"/>
      <w:outlineLvl w:val="2"/>
    </w:pPr>
    <w:rPr>
      <w:rFonts w:cstheme="majorBidi" w:eastAsiaTheme="majorEastAsia" w:ascii="Times New Roman" w:hAnsi="Times New Roman" w:eastAsia="Times New Roman"/>
      <w:b/>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0" w:line="360" w:lineRule="auto" w:after="0"/>
      <w:ind w:firstLine="0"/>
      <w:jc w:val="center"/>
      <w:outlineLvl w:val="9"/>
    </w:pPr>
    <w:rPr>
      <w:rFonts w:asciiTheme="majorHAnsi" w:cstheme="majorBidi" w:eastAsiaTheme="majorEastAsia" w:hAnsiTheme="majorHAnsi" w:ascii="Times New Roman" w:hAnsi="Times New Roman" w:eastAsia="Times New Roman"/>
      <w:b/>
      <w:bCs w:val="0"/>
      <w:color w:themeColor="accent1" w:themeShade="BF" w:val="365F91"/>
      <w:sz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Современные методы мониторинга центральной гемодинамики и возможности прекардиальной импедансной кардиографии</dc:title>
  <dc:creator/>
  <dc:language>ru-RU</dc:language>
  <cp:keywords>гемодинамика; импедансная кардиография; сердечный выброс; прекардиальное картирование</cp:keywords>
  <dcterms:created xsi:type="dcterms:W3CDTF">2026-08-22T22:07:34Z</dcterms:created>
  <dcterms:modified xsi:type="dcterms:W3CDTF">2026-08-22T22:07:34Z</dcterms:modified>
  <dc:subject>Тематический литературный обзор фиксированного корпуса Zotero</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Содержание</vt:lpwstr>
  </property>
</Properties>
</file>