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after="60"/>
        <w:jc w:val="center"/>
      </w:pPr>
      <w:r>
        <w:rPr>
          <w:rFonts w:ascii="Arial" w:cs="Arial" w:eastAsia="Arial" w:hAnsi="Arial"/>
          <w:b/>
          <w:bCs/>
          <w:color w:val="1F4E79"/>
          <w:sz w:val="52"/>
          <w:szCs w:val="52"/>
        </w:rPr>
        <w:t xml:space="preserve">Aevum: Receipted Computing and Verifiable Machine Reality</w:t>
      </w:r>
    </w:p>
    <w:p>
      <w:pPr>
        <w:spacing w:before="60" w:after="60"/>
        <w:jc w:val="center"/>
      </w:pPr>
      <w:r>
        <w:rPr>
          <w:rFonts w:ascii="Arial" w:cs="Arial" w:eastAsia="Arial" w:hAnsi="Arial"/>
          <w:i/>
          <w:iCs/>
          <w:color w:val="595959"/>
          <w:sz w:val="28"/>
          <w:szCs w:val="28"/>
        </w:rPr>
        <w:t xml:space="preserve">Full Implementation Paper for ATS-v0.1</w:t>
      </w:r>
    </w:p>
    <w:p>
      <w:pPr>
        <w:spacing w:before="240" w:after="60"/>
        <w:jc w:val="center"/>
      </w:pPr>
      <w:r>
        <w:rPr>
          <w:rFonts w:ascii="Arial" w:cs="Arial" w:eastAsia="Arial" w:hAnsi="Arial"/>
          <w:color w:val="595959"/>
          <w:sz w:val="22"/>
          <w:szCs w:val="22"/>
        </w:rPr>
        <w:t xml:space="preserve">Version: ATS-v0.1</w:t>
      </w:r>
    </w:p>
    <w:p>
      <w:pPr>
        <w:spacing w:before="0" w:after="60"/>
        <w:jc w:val="center"/>
      </w:pPr>
      <w:r>
        <w:rPr>
          <w:rFonts w:ascii="Arial" w:cs="Arial" w:eastAsia="Arial" w:hAnsi="Arial"/>
          <w:color w:val="595959"/>
          <w:sz w:val="22"/>
          <w:szCs w:val="22"/>
        </w:rPr>
        <w:t xml:space="preserve">Date: 2026-02-20</w:t>
      </w:r>
    </w:p>
    <w:p>
      <w:pPr>
        <w:spacing w:before="0" w:after="60"/>
        <w:jc w:val="center"/>
      </w:pPr>
      <w:r>
        <w:rPr>
          <w:rFonts w:ascii="Arial" w:cs="Arial" w:eastAsia="Arial" w:hAnsi="Arial"/>
          <w:color w:val="595959"/>
          <w:sz w:val="22"/>
          <w:szCs w:val="22"/>
        </w:rPr>
        <w:t xml:space="preserve">Author: Torasu</w:t>
      </w:r>
    </w:p>
    <w:p>
      <w:r>
        <w:t xml:space="preserve"/>
      </w:r>
    </w:p>
    <w:p>
      <w:pPr>
        <w:pBdr>
          <w:bottom w:val="single" w:color="CCCCCC" w:sz="4" w:space="1"/>
        </w:pBdr>
        <w:spacing w:before="120" w:after="120"/>
      </w:pPr>
    </w:p>
    <w:p>
      <w:r>
        <w:t xml:space="preserve"/>
      </w:r>
    </w:p>
    <w:p>
      <w:pPr>
        <w:pStyle w:val="Heading1"/>
        <w:spacing w:before="360" w:after="120"/>
      </w:pPr>
      <w:r>
        <w:rPr>
          <w:rFonts w:ascii="Arial" w:cs="Arial" w:eastAsia="Arial" w:hAnsi="Arial"/>
          <w:b/>
          <w:bCs/>
          <w:color w:val="1F4E79"/>
          <w:sz w:val="32"/>
          <w:szCs w:val="32"/>
        </w:rPr>
        <w:t xml:space="preserve">Abstract</w:t>
      </w:r>
    </w:p>
    <w:p>
      <w:pPr>
        <w:spacing w:before="0" w:after="120"/>
      </w:pPr>
      <w:r>
        <w:rPr>
          <w:rFonts w:ascii="Arial" w:cs="Arial" w:eastAsia="Arial" w:hAnsi="Arial"/>
          <w:sz w:val="22"/>
          <w:szCs w:val="22"/>
        </w:rPr>
        <w:t xml:space="preserve">Aevum is a receipted computing system: it produces deterministic, verifiable receipts for machine events and operator actions, then chains those receipts into an append-only ledger. The goal is operational truth — a compact, cryptographically anchored record of what the system did, when it did it, and under which trust posture.</w:t>
      </w:r>
    </w:p>
    <w:p>
      <w:pPr>
        <w:spacing w:before="0" w:after="120"/>
      </w:pPr>
      <w:r>
        <w:rPr>
          <w:rFonts w:ascii="Arial" w:cs="Arial" w:eastAsia="Arial" w:hAnsi="Arial"/>
          <w:sz w:val="22"/>
          <w:szCs w:val="22"/>
        </w:rPr>
        <w:t xml:space="preserve">This paper explains the full architecture and implementation model behind ATS-v0.1 (Aevum Technical Specification). It motivates design choices, explains trust boundaries, and provides a concrete mental model for envelopes, events, payloads, blocks, finalization, verification, and export/import. It further situates ATS-v0.1 within the broader Aevum project: a system designed to provide individuals with a sovereign, tamper-evident record of their computational and — eventually — lived reality.</w:t>
      </w:r>
    </w:p>
    <w:p>
      <w:pPr>
        <w:spacing w:before="0" w:after="120"/>
      </w:pPr>
      <w:r>
        <w:rPr>
          <w:rFonts w:ascii="Arial" w:cs="Arial" w:eastAsia="Arial" w:hAnsi="Arial"/>
          <w:sz w:val="22"/>
          <w:szCs w:val="22"/>
        </w:rPr>
        <w:t xml:space="preserve">The three central claims of this paper are: (1) receipted computing is a necessary and previously missing primitive for operational integrity; (2) the specific cryptographic and architectural choices in ATS-v0.1 produce a system that is offline-verifiable, fails closed, and portable without trust; and (3) the Computer/User/Bridge separation enables the system to scale from machine attestation to human-scale epistemic sovereignty without architectural contradiction.</w:t>
      </w:r>
    </w:p>
    <w:p>
      <w:r>
        <w:t xml:space="preserve"/>
      </w:r>
    </w:p>
    <w:p>
      <w:pPr>
        <w:pStyle w:val="Heading1"/>
        <w:spacing w:before="360" w:after="120"/>
      </w:pPr>
      <w:r>
        <w:rPr>
          <w:rFonts w:ascii="Arial" w:cs="Arial" w:eastAsia="Arial" w:hAnsi="Arial"/>
          <w:b/>
          <w:bCs/>
          <w:color w:val="1F4E79"/>
          <w:sz w:val="32"/>
          <w:szCs w:val="32"/>
        </w:rPr>
        <w:t xml:space="preserve">1. Problem Statement</w:t>
      </w:r>
    </w:p>
    <w:p>
      <w:pPr>
        <w:spacing w:before="0" w:after="120"/>
      </w:pPr>
      <w:r>
        <w:rPr>
          <w:rFonts w:ascii="Arial" w:cs="Arial" w:eastAsia="Arial" w:hAnsi="Arial"/>
          <w:sz w:val="22"/>
          <w:szCs w:val="22"/>
        </w:rPr>
        <w:t xml:space="preserve">Modern systems are easy to change and hard to prove. Logs are mutable, inconsistent, and often ambiguous. A running system may record what it was instructed to do — or may not. A log file may reflect current state — or may have been rotated, truncated, tampered with, or never written. An audit trail may be technically present but cryptographically unverified, making it vulnerable to retroactive alteration.</w:t>
      </w:r>
    </w:p>
    <w:p>
      <w:pPr>
        <w:spacing w:before="0" w:after="120"/>
      </w:pPr>
      <w:r>
        <w:rPr>
          <w:rFonts w:ascii="Arial" w:cs="Arial" w:eastAsia="Arial" w:hAnsi="Arial"/>
          <w:sz w:val="22"/>
          <w:szCs w:val="22"/>
        </w:rPr>
        <w:t xml:space="preserve">The problem compounds at the human layer. When a person interacts with a digital system — submitting a form, executing a transaction, receiving a decision from an automated process — there is typically no verifiable record they can hold. The institution possesses the log. The individual possesses nothing but memory and whatever screenshots they thought to take.</w:t>
      </w:r>
    </w:p>
    <w:p>
      <w:pPr>
        <w:spacing w:before="0" w:after="120"/>
      </w:pPr>
      <w:r>
        <w:rPr>
          <w:rFonts w:ascii="Arial" w:cs="Arial" w:eastAsia="Arial" w:hAnsi="Arial"/>
          <w:sz w:val="22"/>
          <w:szCs w:val="22"/>
        </w:rPr>
        <w:t xml:space="preserve">This asymmetry is not incidental. It is structural. Systems are built to produce records for their operators, not for their users. The result is a world where the authoritative record of what happened is controlled by whoever has administrative access to the system that produced it.</w:t>
      </w:r>
    </w:p>
    <w:p>
      <w:pPr>
        <w:spacing w:before="0" w:after="120"/>
      </w:pPr>
      <w:r>
        <w:rPr>
          <w:rFonts w:ascii="Arial" w:cs="Arial" w:eastAsia="Arial" w:hAnsi="Arial"/>
          <w:sz w:val="22"/>
          <w:szCs w:val="22"/>
        </w:rPr>
        <w:t xml:space="preserve">Aevum targets this gap at two levels simultaneously:</w:t>
      </w:r>
    </w:p>
    <w:p>
      <w:pPr>
        <w:pStyle w:val="ListParagraph"/>
        <w:numPr>
          <w:ilvl w:val="0"/>
          <w:numId w:val="2"/>
        </w:numPr>
        <w:spacing w:before="0" w:after="60"/>
      </w:pPr>
      <w:r>
        <w:rPr>
          <w:rFonts w:ascii="Arial" w:cs="Arial" w:eastAsia="Arial" w:hAnsi="Arial"/>
          <w:sz w:val="22"/>
          <w:szCs w:val="22"/>
        </w:rPr>
        <w:t xml:space="preserve">Machine level: a compact, cryptographically anchored record of what the system did, when it did it, and under which trust posture — verifiable offline, without trusting the system that produced it.</w:t>
      </w:r>
    </w:p>
    <w:p>
      <w:pPr>
        <w:pStyle w:val="ListParagraph"/>
        <w:numPr>
          <w:ilvl w:val="0"/>
          <w:numId w:val="2"/>
        </w:numPr>
        <w:spacing w:before="0" w:after="60"/>
      </w:pPr>
      <w:r>
        <w:rPr>
          <w:rFonts w:ascii="Arial" w:cs="Arial" w:eastAsia="Arial" w:hAnsi="Arial"/>
          <w:sz w:val="22"/>
          <w:szCs w:val="22"/>
        </w:rPr>
        <w:t xml:space="preserve">Human level: a sovereign, tamper-evident record of a person's interactions with digital systems — verifiable by the person, not by the institution.</w:t>
      </w:r>
    </w:p>
    <w:p>
      <w:pPr>
        <w:spacing w:before="0" w:after="120"/>
      </w:pPr>
      <w:r>
        <w:rPr>
          <w:rFonts w:ascii="Arial" w:cs="Arial" w:eastAsia="Arial" w:hAnsi="Arial"/>
          <w:sz w:val="22"/>
          <w:szCs w:val="22"/>
        </w:rPr>
        <w:t xml:space="preserve">ATS-v0.1 specifies the machine layer. The human layer and the bridge between them are architectural components under active development, whose conceptual foundations are described in Section 9.</w:t>
      </w:r>
    </w:p>
    <w:p>
      <w:r>
        <w:t xml:space="preserve"/>
      </w:r>
    </w:p>
    <w:p>
      <w:pPr>
        <w:pStyle w:val="Heading1"/>
        <w:spacing w:before="360" w:after="120"/>
      </w:pPr>
      <w:r>
        <w:rPr>
          <w:rFonts w:ascii="Arial" w:cs="Arial" w:eastAsia="Arial" w:hAnsi="Arial"/>
          <w:b/>
          <w:bCs/>
          <w:color w:val="1F4E79"/>
          <w:sz w:val="32"/>
          <w:szCs w:val="32"/>
        </w:rPr>
        <w:t xml:space="preserve">2. Design Principles</w:t>
      </w:r>
    </w:p>
    <w:p>
      <w:pPr>
        <w:spacing w:before="0" w:after="120"/>
      </w:pPr>
      <w:r>
        <w:rPr>
          <w:rFonts w:ascii="Arial" w:cs="Arial" w:eastAsia="Arial" w:hAnsi="Arial"/>
          <w:sz w:val="22"/>
          <w:szCs w:val="22"/>
        </w:rPr>
        <w:t xml:space="preserve">Six principles govern all design decisions in ATS-v0.1. Where a choice is constrained by these principles, the principle is named explicitly.</w:t>
      </w:r>
    </w:p>
    <w:p>
      <w:pPr>
        <w:pStyle w:val="Heading2"/>
        <w:spacing w:before="240" w:after="80"/>
      </w:pPr>
      <w:r>
        <w:rPr>
          <w:rFonts w:ascii="Arial" w:cs="Arial" w:eastAsia="Arial" w:hAnsi="Arial"/>
          <w:b/>
          <w:bCs/>
          <w:color w:val="2E75B6"/>
          <w:sz w:val="26"/>
          <w:szCs w:val="26"/>
        </w:rPr>
        <w:t xml:space="preserve">2.1 Receipts Over Narrative</w:t>
      </w:r>
    </w:p>
    <w:p>
      <w:pPr>
        <w:spacing w:before="0" w:after="120"/>
      </w:pPr>
      <w:r>
        <w:rPr>
          <w:rFonts w:ascii="Arial" w:cs="Arial" w:eastAsia="Arial" w:hAnsi="Arial"/>
          <w:sz w:val="22"/>
          <w:szCs w:val="22"/>
        </w:rPr>
        <w:t xml:space="preserve">A receipt is a thin fact: a bounded, signed, timestamped assertion about a specific event. Receipts do not explain, interpret, or contextualize. They record. Narrative — meaning, interpretation, context — is valuable but it is not a receipt. Aevum produces receipts. Narrative layers may be built above the receipt layer; they are not part of the specification.</w:t>
      </w:r>
    </w:p>
    <w:p>
      <w:pPr>
        <w:spacing w:before="0" w:after="120"/>
      </w:pPr>
      <w:r>
        <w:rPr>
          <w:rFonts w:ascii="Arial" w:cs="Arial" w:eastAsia="Arial" w:hAnsi="Arial"/>
          <w:sz w:val="22"/>
          <w:szCs w:val="22"/>
        </w:rPr>
        <w:t xml:space="preserve">This distinction prevents a common failure mode: logs that are rich in explanation but poor in verifiability. A system that records 'user submitted payment' in a human-readable log has produced narrative. A system that records a signed, hashed, chained event with a stable payload hash has produced a receipt. Only the latter can be verified offline.</w:t>
      </w:r>
    </w:p>
    <w:p>
      <w:pPr>
        <w:pStyle w:val="Heading2"/>
        <w:spacing w:before="240" w:after="80"/>
      </w:pPr>
      <w:r>
        <w:rPr>
          <w:rFonts w:ascii="Arial" w:cs="Arial" w:eastAsia="Arial" w:hAnsi="Arial"/>
          <w:b/>
          <w:bCs/>
          <w:color w:val="2E75B6"/>
          <w:sz w:val="26"/>
          <w:szCs w:val="26"/>
        </w:rPr>
        <w:t xml:space="preserve">2.2 Determinism</w:t>
      </w:r>
    </w:p>
    <w:p>
      <w:pPr>
        <w:spacing w:before="0" w:after="120"/>
      </w:pPr>
      <w:r>
        <w:rPr>
          <w:rFonts w:ascii="Arial" w:cs="Arial" w:eastAsia="Arial" w:hAnsi="Arial"/>
          <w:sz w:val="22"/>
          <w:szCs w:val="22"/>
        </w:rPr>
        <w:t xml:space="preserve">Given the same inputs, any conformant implementation MUST produce byte-identical outputs. This applies to canonical encoding, hashing, event digest construction, block assembly, and export manifests. Determinism is not a performance optimization — it is a correctness requirement. Without it, independent verification is impossible.</w:t>
      </w:r>
    </w:p>
    <w:p>
      <w:pPr>
        <w:spacing w:before="0" w:after="120"/>
      </w:pPr>
      <w:r>
        <w:rPr>
          <w:rFonts w:ascii="Arial" w:cs="Arial" w:eastAsia="Arial" w:hAnsi="Arial"/>
          <w:sz w:val="22"/>
          <w:szCs w:val="22"/>
        </w:rPr>
        <w:t xml:space="preserve">Determinism is enforced through RFC 8785 canonical JSON (JCS) for all signed and hashed bytes, explicit sort orders for event hashes within blocks, and domain-separated hashing with fixed tag strings.</w:t>
      </w:r>
    </w:p>
    <w:p>
      <w:pPr>
        <w:pStyle w:val="Heading2"/>
        <w:spacing w:before="240" w:after="80"/>
      </w:pPr>
      <w:r>
        <w:rPr>
          <w:rFonts w:ascii="Arial" w:cs="Arial" w:eastAsia="Arial" w:hAnsi="Arial"/>
          <w:b/>
          <w:bCs/>
          <w:color w:val="2E75B6"/>
          <w:sz w:val="26"/>
          <w:szCs w:val="26"/>
        </w:rPr>
        <w:t xml:space="preserve">2.3 Offline Verifiability</w:t>
      </w:r>
    </w:p>
    <w:p>
      <w:pPr>
        <w:spacing w:before="0" w:after="120"/>
      </w:pPr>
      <w:r>
        <w:rPr>
          <w:rFonts w:ascii="Arial" w:cs="Arial" w:eastAsia="Arial" w:hAnsi="Arial"/>
          <w:sz w:val="22"/>
          <w:szCs w:val="22"/>
        </w:rPr>
        <w:t xml:space="preserve">A verifier MUST be able to confirm the integrity of a ledger export without network access and without trusting any external service. This means all verification materials — keys, signatures, hashes, block structure — are contained within the export bundle itself. The verifier needs only the export and the keyring.</w:t>
      </w:r>
    </w:p>
    <w:p>
      <w:pPr>
        <w:spacing w:before="0" w:after="120"/>
      </w:pPr>
      <w:r>
        <w:rPr>
          <w:rFonts w:ascii="Arial" w:cs="Arial" w:eastAsia="Arial" w:hAnsi="Arial"/>
          <w:sz w:val="22"/>
          <w:szCs w:val="22"/>
        </w:rPr>
        <w:t xml:space="preserve">This requirement rules out any verification protocol that requires calling a remote endpoint, checking a certificate revocation list online, or consulting a time-stamping authority at verification time. Such protocols introduce trust dependencies that Aevum is specifically designed to eliminate.</w:t>
      </w:r>
    </w:p>
    <w:p>
      <w:pPr>
        <w:pStyle w:val="Heading2"/>
        <w:spacing w:before="240" w:after="80"/>
      </w:pPr>
      <w:r>
        <w:rPr>
          <w:rFonts w:ascii="Arial" w:cs="Arial" w:eastAsia="Arial" w:hAnsi="Arial"/>
          <w:b/>
          <w:bCs/>
          <w:color w:val="2E75B6"/>
          <w:sz w:val="26"/>
          <w:szCs w:val="26"/>
        </w:rPr>
        <w:t xml:space="preserve">2.4 Fail Closed</w:t>
      </w:r>
    </w:p>
    <w:p>
      <w:pPr>
        <w:spacing w:before="0" w:after="120"/>
      </w:pPr>
      <w:r>
        <w:rPr>
          <w:rFonts w:ascii="Arial" w:cs="Arial" w:eastAsia="Arial" w:hAnsi="Arial"/>
          <w:sz w:val="22"/>
          <w:szCs w:val="22"/>
        </w:rPr>
        <w:t xml:space="preserve">When the system encounters an integrity gap — a missing block, a hash mismatch, an unknown kind, an unparseable envelope — it MUST reject the affected material rather than attempting to recover or continue. The system produces explicit gap markers (scar receipts) when continuity is broken, so gaps are recorded rather than silently swallowed.</w:t>
      </w:r>
    </w:p>
    <w:p>
      <w:pPr>
        <w:spacing w:before="0" w:after="120"/>
      </w:pPr>
      <w:r>
        <w:rPr>
          <w:rFonts w:ascii="Arial" w:cs="Arial" w:eastAsia="Arial" w:hAnsi="Arial"/>
          <w:sz w:val="22"/>
          <w:szCs w:val="22"/>
        </w:rPr>
        <w:t xml:space="preserve">Fail-closed behavior means that a partially corrupted ledger is detectable and bounded. Silent corruption — where the system continues to operate and emit receipts over a broken chain — is the failure mode Aevum is designed to prevent.</w:t>
      </w:r>
    </w:p>
    <w:p>
      <w:pPr>
        <w:pStyle w:val="Heading2"/>
        <w:spacing w:before="240" w:after="80"/>
      </w:pPr>
      <w:r>
        <w:rPr>
          <w:rFonts w:ascii="Arial" w:cs="Arial" w:eastAsia="Arial" w:hAnsi="Arial"/>
          <w:b/>
          <w:bCs/>
          <w:color w:val="2E75B6"/>
          <w:sz w:val="26"/>
          <w:szCs w:val="26"/>
        </w:rPr>
        <w:t xml:space="preserve">2.5 Bounded Metadata</w:t>
      </w:r>
    </w:p>
    <w:p>
      <w:pPr>
        <w:spacing w:before="0" w:after="120"/>
      </w:pPr>
      <w:r>
        <w:rPr>
          <w:rFonts w:ascii="Arial" w:cs="Arial" w:eastAsia="Arial" w:hAnsi="Arial"/>
          <w:sz w:val="22"/>
          <w:szCs w:val="22"/>
        </w:rPr>
        <w:t xml:space="preserve">In v0.1, free-form classification fields are not permitted in the signed portion of envelopes. Event kinds are enumerated in the kinds registry. Payload kinds follow a strict naming pattern. Enums in signed objects must match the registry exactly; unknown values MUST be rejected (E_ENUM).</w:t>
      </w:r>
    </w:p>
    <w:p>
      <w:pPr>
        <w:spacing w:before="0" w:after="120"/>
      </w:pPr>
      <w:r>
        <w:rPr>
          <w:rFonts w:ascii="Arial" w:cs="Arial" w:eastAsia="Arial" w:hAnsi="Arial"/>
          <w:sz w:val="22"/>
          <w:szCs w:val="22"/>
        </w:rPr>
        <w:t xml:space="preserve">This constraint exists for two reasons. First, unbounded metadata fields are a covert channel for semantic leakage — they allow systems to embed interpretations, classifications, and behavioral inferences in what appears to be structured data. Second, strict enumeration makes conformance testing tractable: a conformance vector can assert that a specific unknown kind value causes rejection, and the test is unambiguous.</w:t>
      </w:r>
    </w:p>
    <w:p>
      <w:pPr>
        <w:pStyle w:val="Heading2"/>
        <w:spacing w:before="240" w:after="80"/>
      </w:pPr>
      <w:r>
        <w:rPr>
          <w:rFonts w:ascii="Arial" w:cs="Arial" w:eastAsia="Arial" w:hAnsi="Arial"/>
          <w:b/>
          <w:bCs/>
          <w:color w:val="2E75B6"/>
          <w:sz w:val="26"/>
          <w:szCs w:val="26"/>
        </w:rPr>
        <w:t xml:space="preserve">2.6 Separation of Streams: Computer, User, Bridge</w:t>
      </w:r>
    </w:p>
    <w:p>
      <w:pPr>
        <w:spacing w:before="0" w:after="120"/>
      </w:pPr>
      <w:r>
        <w:rPr>
          <w:rFonts w:ascii="Arial" w:cs="Arial" w:eastAsia="Arial" w:hAnsi="Arial"/>
          <w:sz w:val="22"/>
          <w:szCs w:val="22"/>
        </w:rPr>
        <w:t xml:space="preserve">The Aevum ledger is organized into named streams. In ATS-v0.1, the defined streams are:</w:t>
      </w:r>
    </w:p>
    <w:p>
      <w:pPr>
        <w:pStyle w:val="ListParagraph"/>
        <w:numPr>
          <w:ilvl w:val="0"/>
          <w:numId w:val="2"/>
        </w:numPr>
        <w:spacing w:before="0" w:after="60"/>
      </w:pPr>
      <w:r>
        <w:rPr>
          <w:rFonts w:ascii="Arial" w:cs="Arial" w:eastAsia="Arial" w:hAnsi="Arial"/>
          <w:sz w:val="22"/>
          <w:szCs w:val="22"/>
        </w:rPr>
        <w:t xml:space="preserve">computer: machine-generated events. Hardware state, OS activity, package changes, boot integrity captures, audit events. This stream is written by the system, not by human direction.</w:t>
      </w:r>
    </w:p>
    <w:p>
      <w:pPr>
        <w:pStyle w:val="ListParagraph"/>
        <w:numPr>
          <w:ilvl w:val="0"/>
          <w:numId w:val="2"/>
        </w:numPr>
        <w:spacing w:before="0" w:after="60"/>
      </w:pPr>
      <w:r>
        <w:rPr>
          <w:rFonts w:ascii="Arial" w:cs="Arial" w:eastAsia="Arial" w:hAnsi="Arial"/>
          <w:sz w:val="22"/>
          <w:szCs w:val="22"/>
        </w:rPr>
        <w:t xml:space="preserve">user: human-generated events. Operator actions, decisions, self-reports. This stream requires explicit human initiation and carries different privacy properties than the computer stream.</w:t>
      </w:r>
    </w:p>
    <w:p>
      <w:pPr>
        <w:pStyle w:val="ListParagraph"/>
        <w:numPr>
          <w:ilvl w:val="0"/>
          <w:numId w:val="2"/>
        </w:numPr>
        <w:spacing w:before="0" w:after="60"/>
      </w:pPr>
      <w:r>
        <w:rPr>
          <w:rFonts w:ascii="Arial" w:cs="Arial" w:eastAsia="Arial" w:hAnsi="Arial"/>
          <w:sz w:val="22"/>
          <w:szCs w:val="22"/>
        </w:rPr>
        <w:t xml:space="preserve">bridge: correlation events that join computer and user streams. A bridge event may assert that a specific computer event corresponds to a specific human decision. Bridge events are the most sensitive: they can potentially deanonymize the user stream by linking it to observable machine behavior.</w:t>
      </w:r>
    </w:p>
    <w:p>
      <w:pPr>
        <w:spacing w:before="0" w:after="120"/>
      </w:pPr>
      <w:r>
        <w:rPr>
          <w:rFonts w:ascii="Arial" w:cs="Arial" w:eastAsia="Arial" w:hAnsi="Arial"/>
          <w:sz w:val="22"/>
          <w:szCs w:val="22"/>
        </w:rPr>
        <w:t xml:space="preserve">The separation is architectural, not merely categorical. The computer stream is designed to be safe to expose to a verifier. The user and bridge streams carry privacy requirements that the computer stream does not. Future protocol specifications will define access control and disclosure rules for user and bridge streams. In ATS-v0.1, stream separation is established in the schema; the privacy protocol is roadmapped.</w:t>
      </w:r>
    </w:p>
    <w:p>
      <w:r>
        <w:t xml:space="preserve"/>
      </w:r>
    </w:p>
    <w:p>
      <w:pPr>
        <w:pStyle w:val="Heading1"/>
        <w:spacing w:before="360" w:after="120"/>
      </w:pPr>
      <w:r>
        <w:rPr>
          <w:rFonts w:ascii="Arial" w:cs="Arial" w:eastAsia="Arial" w:hAnsi="Arial"/>
          <w:b/>
          <w:bCs/>
          <w:color w:val="1F4E79"/>
          <w:sz w:val="32"/>
          <w:szCs w:val="32"/>
        </w:rPr>
        <w:t xml:space="preserve">3. System Overview</w:t>
      </w:r>
    </w:p>
    <w:p>
      <w:pPr>
        <w:spacing w:before="0" w:after="120"/>
      </w:pPr>
      <w:r>
        <w:rPr>
          <w:rFonts w:ascii="Arial" w:cs="Arial" w:eastAsia="Arial" w:hAnsi="Arial"/>
          <w:sz w:val="22"/>
          <w:szCs w:val="22"/>
        </w:rPr>
        <w:t xml:space="preserve">The Aevum receipted computing pipeline has seven stages, each of which is a defined operation with specified inputs, outputs, and failure modes.</w:t>
      </w:r>
    </w:p>
    <w:p>
      <w:pPr>
        <w:pStyle w:val="Heading2"/>
        <w:spacing w:before="240" w:after="80"/>
      </w:pPr>
      <w:r>
        <w:rPr>
          <w:rFonts w:ascii="Arial" w:cs="Arial" w:eastAsia="Arial" w:hAnsi="Arial"/>
          <w:b/>
          <w:bCs/>
          <w:color w:val="2E75B6"/>
          <w:sz w:val="26"/>
          <w:szCs w:val="26"/>
        </w:rPr>
        <w:t xml:space="preserve">3.1 Pipeline</w:t>
      </w:r>
    </w:p>
    <w:p>
      <w:pPr>
        <w:pStyle w:val="ListParagraph"/>
        <w:numPr>
          <w:ilvl w:val="0"/>
          <w:numId w:val="3"/>
        </w:numPr>
        <w:spacing w:before="0" w:after="60"/>
      </w:pPr>
      <w:r>
        <w:rPr>
          <w:rFonts w:ascii="Arial" w:cs="Arial" w:eastAsia="Arial" w:hAnsi="Arial"/>
          <w:sz w:val="22"/>
          <w:szCs w:val="22"/>
        </w:rPr>
        <w:t xml:space="preserve">Observe events. The system observes bounded, time-localized state changes. An event has a kind, a timestamp in nanoseconds, a chain identifier, and a payload.</w:t>
      </w:r>
    </w:p>
    <w:p>
      <w:pPr>
        <w:pStyle w:val="ListParagraph"/>
        <w:numPr>
          <w:ilvl w:val="0"/>
          <w:numId w:val="3"/>
        </w:numPr>
        <w:spacing w:before="0" w:after="60"/>
      </w:pPr>
      <w:r>
        <w:rPr>
          <w:rFonts w:ascii="Arial" w:cs="Arial" w:eastAsia="Arial" w:hAnsi="Arial"/>
          <w:sz w:val="22"/>
          <w:szCs w:val="22"/>
        </w:rPr>
        <w:t xml:space="preserve">Emit ws.event.v1. The observed event is structured as a ws.event.v1 object pointing to its payload by hash. The event itself is thin; the payload is content-addressed.</w:t>
      </w:r>
    </w:p>
    <w:p>
      <w:pPr>
        <w:pStyle w:val="ListParagraph"/>
        <w:numPr>
          <w:ilvl w:val="0"/>
          <w:numId w:val="3"/>
        </w:numPr>
        <w:spacing w:before="0" w:after="60"/>
      </w:pPr>
      <w:r>
        <w:rPr>
          <w:rFonts w:ascii="Arial" w:cs="Arial" w:eastAsia="Arial" w:hAnsi="Arial"/>
          <w:sz w:val="22"/>
          <w:szCs w:val="22"/>
        </w:rPr>
        <w:t xml:space="preserve">Wrap in aevo.envelope.v1. The event is wrapped in a signed envelope. The envelope carries the signature, the signing key identifier, the chain ID, stream, sequence number, timestamp, payload kind, and payload hash. The signature covers the JCS-canonicalized signed portion of the envelope.</w:t>
      </w:r>
    </w:p>
    <w:p>
      <w:pPr>
        <w:pStyle w:val="ListParagraph"/>
        <w:numPr>
          <w:ilvl w:val="0"/>
          <w:numId w:val="3"/>
        </w:numPr>
        <w:spacing w:before="0" w:after="60"/>
      </w:pPr>
      <w:r>
        <w:rPr>
          <w:rFonts w:ascii="Arial" w:cs="Arial" w:eastAsia="Arial" w:hAnsi="Arial"/>
          <w:sz w:val="22"/>
          <w:szCs w:val="22"/>
        </w:rPr>
        <w:t xml:space="preserve">Store immutably by hash. Envelopes and payloads are stored content-addressed: the storage key is the SHA-256 hash of the content. Nothing is overwritten. Appends only.</w:t>
      </w:r>
    </w:p>
    <w:p>
      <w:pPr>
        <w:pStyle w:val="ListParagraph"/>
        <w:numPr>
          <w:ilvl w:val="0"/>
          <w:numId w:val="3"/>
        </w:numPr>
        <w:spacing w:before="0" w:after="60"/>
      </w:pPr>
      <w:r>
        <w:rPr>
          <w:rFonts w:ascii="Arial" w:cs="Arial" w:eastAsia="Arial" w:hAnsi="Arial"/>
          <w:sz w:val="22"/>
          <w:szCs w:val="22"/>
        </w:rPr>
        <w:t xml:space="preserve">Assemble fixed-window blocks. At regular intervals, the ingestion process closes the current time window and assembles a TimeChain block. The block contains the sorted hashes of all events in the window, an event digest over those hashes, the block height, and the hash of the previous block.</w:t>
      </w:r>
    </w:p>
    <w:p>
      <w:pPr>
        <w:pStyle w:val="ListParagraph"/>
        <w:numPr>
          <w:ilvl w:val="0"/>
          <w:numId w:val="3"/>
        </w:numPr>
        <w:spacing w:before="0" w:after="60"/>
      </w:pPr>
      <w:r>
        <w:rPr>
          <w:rFonts w:ascii="Arial" w:cs="Arial" w:eastAsia="Arial" w:hAnsi="Arial"/>
          <w:sz w:val="22"/>
          <w:szCs w:val="22"/>
        </w:rPr>
        <w:t xml:space="preserve">Finalize ranges (optional anchor). A finalization record commits a range of block heights to a single range_root hash. This creates a compact anchor over an arbitrary range of blocks, suitable for TPM sealing or external timestamping.</w:t>
      </w:r>
    </w:p>
    <w:p>
      <w:pPr>
        <w:pStyle w:val="ListParagraph"/>
        <w:numPr>
          <w:ilvl w:val="0"/>
          <w:numId w:val="3"/>
        </w:numPr>
        <w:spacing w:before="0" w:after="60"/>
      </w:pPr>
      <w:r>
        <w:rPr>
          <w:rFonts w:ascii="Arial" w:cs="Arial" w:eastAsia="Arial" w:hAnsi="Arial"/>
          <w:sz w:val="22"/>
          <w:szCs w:val="22"/>
        </w:rPr>
        <w:t xml:space="preserve">Verify and export/import. The verification protocol checks envelope signatures, block hash chains, and event digest integrity. Export produces a deterministic bundle manifest over a specified range. Import verifies the manifest before accepting any content.</w:t>
      </w:r>
    </w:p>
    <w:p>
      <w:pPr>
        <w:pStyle w:val="Heading2"/>
        <w:spacing w:before="240" w:after="80"/>
      </w:pPr>
      <w:r>
        <w:rPr>
          <w:rFonts w:ascii="Arial" w:cs="Arial" w:eastAsia="Arial" w:hAnsi="Arial"/>
          <w:b/>
          <w:bCs/>
          <w:color w:val="2E75B6"/>
          <w:sz w:val="26"/>
          <w:szCs w:val="26"/>
        </w:rPr>
        <w:t xml:space="preserve">3.2 Failure Modes</w:t>
      </w:r>
    </w:p>
    <w:p>
      <w:pPr>
        <w:spacing w:before="0" w:after="120"/>
      </w:pPr>
      <w:r>
        <w:rPr>
          <w:rFonts w:ascii="Arial" w:cs="Arial" w:eastAsia="Arial" w:hAnsi="Arial"/>
          <w:sz w:val="22"/>
          <w:szCs w:val="22"/>
        </w:rPr>
        <w:t xml:space="preserve">Each stage has a defined failure mode that results in explicit, receipted failure rather than silent continuation:</w:t>
      </w:r>
    </w:p>
    <w:p>
      <w:pPr>
        <w:pStyle w:val="ListParagraph"/>
        <w:numPr>
          <w:ilvl w:val="0"/>
          <w:numId w:val="2"/>
        </w:numPr>
        <w:spacing w:before="0" w:after="60"/>
      </w:pPr>
      <w:r>
        <w:rPr>
          <w:rFonts w:ascii="Arial" w:cs="Arial" w:eastAsia="Arial" w:hAnsi="Arial"/>
          <w:sz w:val="22"/>
          <w:szCs w:val="22"/>
        </w:rPr>
        <w:t xml:space="preserve">Stage 1-2: observation failure produces a gap marker. The gap is recorded as a scar receipt with a bounded gap descriptor.</w:t>
      </w:r>
    </w:p>
    <w:p>
      <w:pPr>
        <w:pStyle w:val="ListParagraph"/>
        <w:numPr>
          <w:ilvl w:val="0"/>
          <w:numId w:val="2"/>
        </w:numPr>
        <w:spacing w:before="0" w:after="60"/>
      </w:pPr>
      <w:r>
        <w:rPr>
          <w:rFonts w:ascii="Arial" w:cs="Arial" w:eastAsia="Arial" w:hAnsi="Arial"/>
          <w:sz w:val="22"/>
          <w:szCs w:val="22"/>
        </w:rPr>
        <w:t xml:space="preserve">Stage 3: signature failure at envelope creation is a hard error. The event is not committed.</w:t>
      </w:r>
    </w:p>
    <w:p>
      <w:pPr>
        <w:pStyle w:val="ListParagraph"/>
        <w:numPr>
          <w:ilvl w:val="0"/>
          <w:numId w:val="2"/>
        </w:numPr>
        <w:spacing w:before="0" w:after="60"/>
      </w:pPr>
      <w:r>
        <w:rPr>
          <w:rFonts w:ascii="Arial" w:cs="Arial" w:eastAsia="Arial" w:hAnsi="Arial"/>
          <w:sz w:val="22"/>
          <w:szCs w:val="22"/>
        </w:rPr>
        <w:t xml:space="preserve">Stage 4: storage failure is a hard error. The system does not attempt partial writes.</w:t>
      </w:r>
    </w:p>
    <w:p>
      <w:pPr>
        <w:pStyle w:val="ListParagraph"/>
        <w:numPr>
          <w:ilvl w:val="0"/>
          <w:numId w:val="2"/>
        </w:numPr>
        <w:spacing w:before="0" w:after="60"/>
      </w:pPr>
      <w:r>
        <w:rPr>
          <w:rFonts w:ascii="Arial" w:cs="Arial" w:eastAsia="Arial" w:hAnsi="Arial"/>
          <w:sz w:val="22"/>
          <w:szCs w:val="22"/>
        </w:rPr>
        <w:t xml:space="preserve">Stage 5: block assembly with hash chain break produces a scar block. The scar is committed; processing continues on the scar.</w:t>
      </w:r>
    </w:p>
    <w:p>
      <w:pPr>
        <w:pStyle w:val="ListParagraph"/>
        <w:numPr>
          <w:ilvl w:val="0"/>
          <w:numId w:val="2"/>
        </w:numPr>
        <w:spacing w:before="0" w:after="60"/>
      </w:pPr>
      <w:r>
        <w:rPr>
          <w:rFonts w:ascii="Arial" w:cs="Arial" w:eastAsia="Arial" w:hAnsi="Arial"/>
          <w:sz w:val="22"/>
          <w:szCs w:val="22"/>
        </w:rPr>
        <w:t xml:space="preserve">Stage 7: verification failure at any point causes rejection of the entire affected range. There is no partial acceptance.</w:t>
      </w:r>
    </w:p>
    <w:p>
      <w:r>
        <w:t xml:space="preserve"/>
      </w:r>
    </w:p>
    <w:p>
      <w:pPr>
        <w:pStyle w:val="Heading1"/>
        <w:spacing w:before="360" w:after="120"/>
      </w:pPr>
      <w:r>
        <w:rPr>
          <w:rFonts w:ascii="Arial" w:cs="Arial" w:eastAsia="Arial" w:hAnsi="Arial"/>
          <w:b/>
          <w:bCs/>
          <w:color w:val="1F4E79"/>
          <w:sz w:val="32"/>
          <w:szCs w:val="32"/>
        </w:rPr>
        <w:t xml:space="preserve">4. Architecture and Trust Boundaries</w:t>
      </w:r>
    </w:p>
    <w:p>
      <w:pPr>
        <w:pStyle w:val="Heading2"/>
        <w:spacing w:before="240" w:after="80"/>
      </w:pPr>
      <w:r>
        <w:rPr>
          <w:rFonts w:ascii="Arial" w:cs="Arial" w:eastAsia="Arial" w:hAnsi="Arial"/>
          <w:b/>
          <w:bCs/>
          <w:color w:val="2E75B6"/>
          <w:sz w:val="26"/>
          <w:szCs w:val="26"/>
        </w:rPr>
        <w:t xml:space="preserve">4.1 Components</w:t>
      </w:r>
    </w:p>
    <w:p>
      <w:pPr>
        <w:spacing w:before="0" w:after="120"/>
      </w:pPr>
      <w:r>
        <w:rPr>
          <w:rFonts w:ascii="Arial" w:cs="Arial" w:eastAsia="Arial" w:hAnsi="Arial"/>
          <w:sz w:val="22"/>
          <w:szCs w:val="22"/>
        </w:rPr>
        <w:t xml:space="preserve">The Aevum workstation architecture has three logical components. These correspond directly to the stream separation described in Section 2.6.</w:t>
      </w:r>
    </w:p>
    <w:p>
      <w:pPr>
        <w:pStyle w:val="Heading3"/>
        <w:spacing w:before="180" w:after="60"/>
      </w:pPr>
      <w:r>
        <w:rPr>
          <w:rFonts w:ascii="Arial" w:cs="Arial" w:eastAsia="Arial" w:hAnsi="Arial"/>
          <w:b/>
          <w:bCs/>
          <w:color w:val="595959"/>
          <w:sz w:val="24"/>
          <w:szCs w:val="24"/>
        </w:rPr>
        <w:t xml:space="preserve">Aevum-Computer</w:t>
      </w:r>
    </w:p>
    <w:p>
      <w:pPr>
        <w:spacing w:before="0" w:after="120"/>
      </w:pPr>
      <w:r>
        <w:rPr>
          <w:rFonts w:ascii="Arial" w:cs="Arial" w:eastAsia="Arial" w:hAnsi="Arial"/>
          <w:sz w:val="22"/>
          <w:szCs w:val="22"/>
        </w:rPr>
        <w:t xml:space="preserve">Aevum-Computer is the machine-side receipt engine. It observes OS-level events, assembles them into envelopes and blocks, manages the on-disk ledger, and exposes the Receipt Request Protocol (RRP) socket for other components to request receipt minting. Aevum-Computer is the only component with write authority over the receipt ledger.</w:t>
      </w:r>
    </w:p>
    <w:p>
      <w:pPr>
        <w:spacing w:before="0" w:after="120"/>
      </w:pPr>
      <w:r>
        <w:rPr>
          <w:rFonts w:ascii="Arial" w:cs="Arial" w:eastAsia="Arial" w:hAnsi="Arial"/>
          <w:sz w:val="22"/>
          <w:szCs w:val="22"/>
        </w:rPr>
        <w:t xml:space="preserve">The principle here is that the component closest to the hardware and with the clearest observational scope should be the sole writer. Other components that want receipts minted must request them through the RRP; they cannot write directly. This separation means that even if a higher-level component is compromised, it cannot forge receipts — it can only request them, and those requests are themselves logged.</w:t>
      </w:r>
    </w:p>
    <w:p>
      <w:pPr>
        <w:pStyle w:val="Heading3"/>
        <w:spacing w:before="180" w:after="60"/>
      </w:pPr>
      <w:r>
        <w:rPr>
          <w:rFonts w:ascii="Arial" w:cs="Arial" w:eastAsia="Arial" w:hAnsi="Arial"/>
          <w:b/>
          <w:bCs/>
          <w:color w:val="595959"/>
          <w:sz w:val="24"/>
          <w:szCs w:val="24"/>
        </w:rPr>
        <w:t xml:space="preserve">Aevum-User</w:t>
      </w:r>
    </w:p>
    <w:p>
      <w:pPr>
        <w:spacing w:before="0" w:after="120"/>
      </w:pPr>
      <w:r>
        <w:rPr>
          <w:rFonts w:ascii="Arial" w:cs="Arial" w:eastAsia="Arial" w:hAnsi="Arial"/>
          <w:sz w:val="22"/>
          <w:szCs w:val="22"/>
        </w:rPr>
        <w:t xml:space="preserve">Aevum-User is the human-facing layer. It provides the interface through which an operator initiates receipted actions, records decisions, and manages the user stream. Aevum-User does not have direct write access to the ledger. It requests minting through the RRP, which means every human-initiated receipt is also a machine-observed event.</w:t>
      </w:r>
    </w:p>
    <w:p>
      <w:pPr>
        <w:spacing w:before="0" w:after="120"/>
      </w:pPr>
      <w:r>
        <w:rPr>
          <w:rFonts w:ascii="Arial" w:cs="Arial" w:eastAsia="Arial" w:hAnsi="Arial"/>
          <w:sz w:val="22"/>
          <w:szCs w:val="22"/>
        </w:rPr>
        <w:t xml:space="preserve">The privacy separation is critical here. The user stream has different disclosure properties than the computer stream. A user may consent to sharing their computer stream for diagnostics while keeping their user stream private. The architectural separation makes this consent meaningful rather than merely policy-level.</w:t>
      </w:r>
    </w:p>
    <w:p>
      <w:pPr>
        <w:pStyle w:val="Heading3"/>
        <w:spacing w:before="180" w:after="60"/>
      </w:pPr>
      <w:r>
        <w:rPr>
          <w:rFonts w:ascii="Arial" w:cs="Arial" w:eastAsia="Arial" w:hAnsi="Arial"/>
          <w:b/>
          <w:bCs/>
          <w:color w:val="595959"/>
          <w:sz w:val="24"/>
          <w:szCs w:val="24"/>
        </w:rPr>
        <w:t xml:space="preserve">Aevum-Bridge</w:t>
      </w:r>
    </w:p>
    <w:p>
      <w:pPr>
        <w:spacing w:before="0" w:after="120"/>
      </w:pPr>
      <w:r>
        <w:rPr>
          <w:rFonts w:ascii="Arial" w:cs="Arial" w:eastAsia="Arial" w:hAnsi="Arial"/>
          <w:sz w:val="22"/>
          <w:szCs w:val="22"/>
        </w:rPr>
        <w:t xml:space="preserve">Aevum-Bridge is the correlation layer. It provides bounded, consent-mediated access to cross-stream correlation. A bridge event might assert: 'the operator action recorded in user stream at time T corresponds to the file write recorded in computer stream at time T+2ms.' This correlation is architecturally significant because it transforms separate machine facts into a causal narrative.</w:t>
      </w:r>
    </w:p>
    <w:p>
      <w:pPr>
        <w:spacing w:before="0" w:after="120"/>
      </w:pPr>
      <w:r>
        <w:rPr>
          <w:rFonts w:ascii="Arial" w:cs="Arial" w:eastAsia="Arial" w:hAnsi="Arial"/>
          <w:sz w:val="22"/>
          <w:szCs w:val="22"/>
        </w:rPr>
        <w:t xml:space="preserve">Bridge events are the most sensitive class because they can, in aggregate, reconstruct behavior patterns that neither stream alone reveals. Bridge events require explicit operator consent and are subject to disclosure rules that do not apply to the computer stream.</w:t>
      </w:r>
    </w:p>
    <w:p>
      <w:pPr>
        <w:pStyle w:val="Heading2"/>
        <w:spacing w:before="240" w:after="80"/>
      </w:pPr>
      <w:r>
        <w:rPr>
          <w:rFonts w:ascii="Arial" w:cs="Arial" w:eastAsia="Arial" w:hAnsi="Arial"/>
          <w:b/>
          <w:bCs/>
          <w:color w:val="2E75B6"/>
          <w:sz w:val="26"/>
          <w:szCs w:val="26"/>
        </w:rPr>
        <w:t xml:space="preserve">4.2 Trust Model</w:t>
      </w:r>
    </w:p>
    <w:p>
      <w:pPr>
        <w:spacing w:before="0" w:after="120"/>
      </w:pPr>
      <w:r>
        <w:rPr>
          <w:rFonts w:ascii="Arial" w:cs="Arial" w:eastAsia="Arial" w:hAnsi="Arial"/>
          <w:sz w:val="22"/>
          <w:szCs w:val="22"/>
        </w:rPr>
        <w:t xml:space="preserve">The trust model for ATS-v0.1 is explicit and bounded. What the system does and does not guarantee:</w:t>
      </w:r>
    </w:p>
    <w:p>
      <w:pPr>
        <w:pStyle w:val="ListParagraph"/>
        <w:numPr>
          <w:ilvl w:val="0"/>
          <w:numId w:val="2"/>
        </w:numPr>
        <w:spacing w:before="0" w:after="60"/>
      </w:pPr>
      <w:r>
        <w:rPr>
          <w:rFonts w:ascii="Arial" w:cs="Arial" w:eastAsia="Arial" w:hAnsi="Arial"/>
          <w:sz w:val="22"/>
          <w:szCs w:val="22"/>
        </w:rPr>
        <w:t xml:space="preserve">Guarantees: if a verifier accepts a ledger export, then the chain of block hashes is intact, all envelope signatures were valid at the time of signing, all payload hashes match their content, and no blocks were inserted, removed, or reordered without detection.</w:t>
      </w:r>
    </w:p>
    <w:p>
      <w:pPr>
        <w:pStyle w:val="ListParagraph"/>
        <w:numPr>
          <w:ilvl w:val="0"/>
          <w:numId w:val="2"/>
        </w:numPr>
        <w:spacing w:before="0" w:after="60"/>
      </w:pPr>
      <w:r>
        <w:rPr>
          <w:rFonts w:ascii="Arial" w:cs="Arial" w:eastAsia="Arial" w:hAnsi="Arial"/>
          <w:sz w:val="22"/>
          <w:szCs w:val="22"/>
        </w:rPr>
        <w:t xml:space="preserve">Does not guarantee: that the signing key was not compromised before use; that events accurately reflect what actually happened (only that they were recorded and signed); that the system clock was accurate; or that the hardware was not compromised below the OS level.</w:t>
      </w:r>
    </w:p>
    <w:p>
      <w:pPr>
        <w:spacing w:before="0" w:after="120"/>
      </w:pPr>
      <w:r>
        <w:rPr>
          <w:rFonts w:ascii="Arial" w:cs="Arial" w:eastAsia="Arial" w:hAnsi="Arial"/>
          <w:sz w:val="22"/>
          <w:szCs w:val="22"/>
        </w:rPr>
        <w:t xml:space="preserve">TPM anchoring (via the tpm.quote.v1 schema) provides hardware-rooted attestation of system state at boot and at finalization events. When a finalization record is TPM-signed, it asserts that the hardware was in the recorded PCR state at the time of finalization. This extends the trust boundary downward toward hardware — but it remains a best-effort binding, not a proof of the broader system posture.</w:t>
      </w:r>
    </w:p>
    <w:p>
      <w:pPr>
        <w:spacing w:before="0" w:after="120"/>
      </w:pPr>
      <w:r>
        <w:rPr>
          <w:rFonts w:ascii="Arial" w:cs="Arial" w:eastAsia="Arial" w:hAnsi="Arial"/>
          <w:sz w:val="22"/>
          <w:szCs w:val="22"/>
        </w:rPr>
        <w:t xml:space="preserve">The system is designed for tamper evidence, not magical invulnerability. The adversary model assumes: the operator is trusted at time of setup; the signing keys are protected; and the storage medium is not compromised below the file system level. Within that model, the guarantees are strong.</w:t>
      </w:r>
    </w:p>
    <w:p>
      <w:pPr>
        <w:pStyle w:val="Heading2"/>
        <w:spacing w:before="240" w:after="80"/>
      </w:pPr>
      <w:r>
        <w:rPr>
          <w:rFonts w:ascii="Arial" w:cs="Arial" w:eastAsia="Arial" w:hAnsi="Arial"/>
          <w:b/>
          <w:bCs/>
          <w:color w:val="2E75B6"/>
          <w:sz w:val="26"/>
          <w:szCs w:val="26"/>
        </w:rPr>
        <w:t xml:space="preserve">4.3 RRP: The Receipt Request Protocol</w:t>
      </w:r>
    </w:p>
    <w:p>
      <w:pPr>
        <w:spacing w:before="0" w:after="120"/>
      </w:pPr>
      <w:r>
        <w:rPr>
          <w:rFonts w:ascii="Arial" w:cs="Arial" w:eastAsia="Arial" w:hAnsi="Arial"/>
          <w:sz w:val="22"/>
          <w:szCs w:val="22"/>
        </w:rPr>
        <w:t xml:space="preserve">The Receipt Request Protocol (RRP) is the local Unix domain socket interface through which Aevum-User and other authorized clients request receipt minting from Aevum-Computer. The design principle is: Core can propose; Workstation can seal.</w:t>
      </w:r>
    </w:p>
    <w:p>
      <w:pPr>
        <w:spacing w:before="0" w:after="120"/>
      </w:pPr>
      <w:r>
        <w:rPr>
          <w:rFonts w:ascii="Arial" w:cs="Arial" w:eastAsia="Arial" w:hAnsi="Arial"/>
          <w:sz w:val="22"/>
          <w:szCs w:val="22"/>
        </w:rPr>
        <w:t xml:space="preserve">The RRP enforces the following invariants:</w:t>
      </w:r>
    </w:p>
    <w:p>
      <w:pPr>
        <w:pStyle w:val="ListParagraph"/>
        <w:numPr>
          <w:ilvl w:val="0"/>
          <w:numId w:val="2"/>
        </w:numPr>
        <w:spacing w:before="0" w:after="60"/>
      </w:pPr>
      <w:r>
        <w:rPr>
          <w:rFonts w:ascii="Arial" w:cs="Arial" w:eastAsia="Arial" w:hAnsi="Arial"/>
          <w:sz w:val="22"/>
          <w:szCs w:val="22"/>
        </w:rPr>
        <w:t xml:space="preserve">Only clients registered in the core client allowlist registry may submit requests.</w:t>
      </w:r>
    </w:p>
    <w:p>
      <w:pPr>
        <w:pStyle w:val="ListParagraph"/>
        <w:numPr>
          <w:ilvl w:val="0"/>
          <w:numId w:val="2"/>
        </w:numPr>
        <w:spacing w:before="0" w:after="60"/>
      </w:pPr>
      <w:r>
        <w:rPr>
          <w:rFonts w:ascii="Arial" w:cs="Arial" w:eastAsia="Arial" w:hAnsi="Arial"/>
          <w:sz w:val="22"/>
          <w:szCs w:val="22"/>
        </w:rPr>
        <w:t xml:space="preserve">Each request is signed by the requesting client's Ed25519 key. The workstation verifies the request signature before processing.</w:t>
      </w:r>
    </w:p>
    <w:p>
      <w:pPr>
        <w:pStyle w:val="ListParagraph"/>
        <w:numPr>
          <w:ilvl w:val="0"/>
          <w:numId w:val="2"/>
        </w:numPr>
        <w:spacing w:before="0" w:after="60"/>
      </w:pPr>
      <w:r>
        <w:rPr>
          <w:rFonts w:ascii="Arial" w:cs="Arial" w:eastAsia="Arial" w:hAnsi="Arial"/>
          <w:sz w:val="22"/>
          <w:szCs w:val="22"/>
        </w:rPr>
        <w:t xml:space="preserve">The workstation signs the ReceiptResult with the device Ed25519 key. The result is itself a receipt — a record that the workstation processed this specific request.</w:t>
      </w:r>
    </w:p>
    <w:p>
      <w:pPr>
        <w:pStyle w:val="ListParagraph"/>
        <w:numPr>
          <w:ilvl w:val="0"/>
          <w:numId w:val="2"/>
        </w:numPr>
        <w:spacing w:before="0" w:after="60"/>
      </w:pPr>
      <w:r>
        <w:rPr>
          <w:rFonts w:ascii="Arial" w:cs="Arial" w:eastAsia="Arial" w:hAnsi="Arial"/>
          <w:sz w:val="22"/>
          <w:szCs w:val="22"/>
        </w:rPr>
        <w:t xml:space="preserve">All requests and results are themselves committed to the ledger, creating an auditable record of every receipt minting event.</w:t>
      </w:r>
    </w:p>
    <w:p>
      <w:pPr>
        <w:spacing w:before="0" w:after="120"/>
      </w:pPr>
      <w:r>
        <w:rPr>
          <w:rFonts w:ascii="Arial" w:cs="Arial" w:eastAsia="Arial" w:hAnsi="Arial"/>
          <w:sz w:val="22"/>
          <w:szCs w:val="22"/>
        </w:rPr>
        <w:t xml:space="preserve">This design means that even if a client component is subverted, it cannot mint receipts without the workstation's involvement, and its requests are logged. The subverted component can request false receipts, but those false requests are themselves receipted — creating an audit trail of the attempted subversion.</w:t>
      </w:r>
    </w:p>
    <w:p>
      <w:r>
        <w:t xml:space="preserve"/>
      </w:r>
    </w:p>
    <w:p>
      <w:pPr>
        <w:pStyle w:val="Heading1"/>
        <w:spacing w:before="360" w:after="120"/>
      </w:pPr>
      <w:r>
        <w:rPr>
          <w:rFonts w:ascii="Arial" w:cs="Arial" w:eastAsia="Arial" w:hAnsi="Arial"/>
          <w:b/>
          <w:bCs/>
          <w:color w:val="1F4E79"/>
          <w:sz w:val="32"/>
          <w:szCs w:val="32"/>
        </w:rPr>
        <w:t xml:space="preserve">5. Data Model and Cryptographic Core</w:t>
      </w:r>
    </w:p>
    <w:p>
      <w:pPr>
        <w:pStyle w:val="Heading2"/>
        <w:spacing w:before="240" w:after="80"/>
      </w:pPr>
      <w:r>
        <w:rPr>
          <w:rFonts w:ascii="Arial" w:cs="Arial" w:eastAsia="Arial" w:hAnsi="Arial"/>
          <w:b/>
          <w:bCs/>
          <w:color w:val="2E75B6"/>
          <w:sz w:val="26"/>
          <w:szCs w:val="26"/>
        </w:rPr>
        <w:t xml:space="preserve">5.1 Canonical Encoding</w:t>
      </w:r>
    </w:p>
    <w:p>
      <w:pPr>
        <w:spacing w:before="0" w:after="120"/>
      </w:pPr>
      <w:r>
        <w:rPr>
          <w:rFonts w:ascii="Arial" w:cs="Arial" w:eastAsia="Arial" w:hAnsi="Arial"/>
          <w:sz w:val="22"/>
          <w:szCs w:val="22"/>
        </w:rPr>
        <w:t xml:space="preserve">All signed bytes and hashed bytes MUST be RFC 8785 (JCS) canonical JSON encoded as UTF-8. JCS defines a deterministic serialization for JSON objects: keys are sorted lexicographically by Unicode code point, whitespace is eliminated, and numbers follow a specific representation.</w:t>
      </w:r>
    </w:p>
    <w:p>
      <w:pPr>
        <w:spacing w:before="0" w:after="120"/>
      </w:pPr>
      <w:r>
        <w:rPr>
          <w:rFonts w:ascii="Arial" w:cs="Arial" w:eastAsia="Arial" w:hAnsi="Arial"/>
          <w:sz w:val="22"/>
          <w:szCs w:val="22"/>
        </w:rPr>
        <w:t xml:space="preserve">The numeric rule for ATS-v0.1 is strict: floating-point numbers MUST NOT be produced in any signed or hashed object. Verifiers MUST reject objects containing non-integer numeric values (error code E_CANON). This rule exists because floating-point representation is implementation-dependent in edge cases, and because financial and timestamping values should always be represented as integers (nanoseconds, not fractional seconds).</w:t>
      </w:r>
    </w:p>
    <w:p>
      <w:pPr>
        <w:pStyle w:val="Heading2"/>
        <w:spacing w:before="240" w:after="80"/>
      </w:pPr>
      <w:r>
        <w:rPr>
          <w:rFonts w:ascii="Arial" w:cs="Arial" w:eastAsia="Arial" w:hAnsi="Arial"/>
          <w:b/>
          <w:bCs/>
          <w:color w:val="2E75B6"/>
          <w:sz w:val="26"/>
          <w:szCs w:val="26"/>
        </w:rPr>
        <w:t xml:space="preserve">5.2 Domain-Separated Hashing</w:t>
      </w:r>
    </w:p>
    <w:p>
      <w:pPr>
        <w:spacing w:before="0" w:after="120"/>
      </w:pPr>
      <w:r>
        <w:rPr>
          <w:rFonts w:ascii="Arial" w:cs="Arial" w:eastAsia="Arial" w:hAnsi="Arial"/>
          <w:sz w:val="22"/>
          <w:szCs w:val="22"/>
        </w:rPr>
        <w:t xml:space="preserve">All hashing uses a domain-separated construction:</w:t>
      </w:r>
    </w:p>
    <w:p>
      <w:pPr>
        <w:spacing w:before="60" w:after="60"/>
        <w:ind w:left="720"/>
      </w:pPr>
      <w:r>
        <w:rPr>
          <w:rFonts w:ascii="Courier New" w:cs="Courier New" w:eastAsia="Courier New" w:hAnsi="Courier New"/>
          <w:color w:val="333333"/>
          <w:sz w:val="18"/>
          <w:szCs w:val="18"/>
        </w:rPr>
        <w:t xml:space="preserve">H(tag, msg) = SHA256( "AEVUM" || 0x00 || tag || 0x00 || msg )</w:t>
      </w:r>
    </w:p>
    <w:p>
      <w:pPr>
        <w:spacing w:before="60" w:after="60"/>
        <w:ind w:left="720"/>
      </w:pPr>
      <w:r>
        <w:rPr>
          <w:rFonts w:ascii="Courier New" w:cs="Courier New" w:eastAsia="Courier New" w:hAnsi="Courier New"/>
          <w:color w:val="333333"/>
          <w:sz w:val="18"/>
          <w:szCs w:val="18"/>
        </w:rPr>
        <w:t xml:space="preserve">HASHSTR(digest) = "sha256:" + lowercase_hex(digest)</w:t>
      </w:r>
    </w:p>
    <w:p>
      <w:pPr>
        <w:spacing w:before="0" w:after="120"/>
      </w:pPr>
      <w:r>
        <w:rPr>
          <w:rFonts w:ascii="Arial" w:cs="Arial" w:eastAsia="Arial" w:hAnsi="Arial"/>
          <w:sz w:val="22"/>
          <w:szCs w:val="22"/>
        </w:rPr>
        <w:t xml:space="preserve">Domain separation prevents hash collisions between different object types. A payload hash and a block hash cannot collide even if their content bytes happen to be identical, because their domain tags differ. The domain tags used in v0.1 are fixed strings defined in the specification; adding a new object type requires defining a new domain tag.</w:t>
      </w:r>
    </w:p>
    <w:p>
      <w:pPr>
        <w:spacing w:before="0" w:after="120"/>
      </w:pPr>
      <w:r>
        <w:rPr>
          <w:rFonts w:ascii="Arial" w:cs="Arial" w:eastAsia="Arial" w:hAnsi="Arial"/>
          <w:sz w:val="22"/>
          <w:szCs w:val="22"/>
        </w:rPr>
        <w:t xml:space="preserve">The HASHSTR representation serializes hashes as prefixed hex strings in JSON. The prefix 'sha256:' identifies the algorithm; this allows future versions to introduce new hash algorithms without breaking parsers.</w:t>
      </w:r>
    </w:p>
    <w:p>
      <w:pPr>
        <w:pStyle w:val="Heading2"/>
        <w:spacing w:before="240" w:after="80"/>
      </w:pPr>
      <w:r>
        <w:rPr>
          <w:rFonts w:ascii="Arial" w:cs="Arial" w:eastAsia="Arial" w:hAnsi="Arial"/>
          <w:b/>
          <w:bCs/>
          <w:color w:val="2E75B6"/>
          <w:sz w:val="26"/>
          <w:szCs w:val="26"/>
        </w:rPr>
        <w:t xml:space="preserve">5.3 The Envelope</w:t>
      </w:r>
    </w:p>
    <w:p>
      <w:pPr>
        <w:spacing w:before="0" w:after="120"/>
      </w:pPr>
      <w:r>
        <w:rPr>
          <w:rFonts w:ascii="Arial" w:cs="Arial" w:eastAsia="Arial" w:hAnsi="Arial"/>
          <w:sz w:val="22"/>
          <w:szCs w:val="22"/>
        </w:rPr>
        <w:t xml:space="preserve">The envelope (aevo.envelope.v1) is the fundamental unit of the Aevum ledger. Every event, every operator action, every receipt result is wrapped in an envelope. The envelope has three top-level fields:</w:t>
      </w:r>
    </w:p>
    <w:p>
      <w:pPr>
        <w:pStyle w:val="ListParagraph"/>
        <w:numPr>
          <w:ilvl w:val="0"/>
          <w:numId w:val="2"/>
        </w:numPr>
        <w:spacing w:before="0" w:after="60"/>
      </w:pPr>
      <w:r>
        <w:rPr>
          <w:rFonts w:ascii="Arial" w:cs="Arial" w:eastAsia="Arial" w:hAnsi="Arial"/>
          <w:sz w:val="22"/>
          <w:szCs w:val="22"/>
        </w:rPr>
        <w:t xml:space="preserve">signed: the signed portion — the data covered by the signature. Contains: stream, chain_id, ts_ns, payload_kind, payload_hash, and optionally prev_envelope_hash and seq.</w:t>
      </w:r>
    </w:p>
    <w:p>
      <w:pPr>
        <w:pStyle w:val="ListParagraph"/>
        <w:numPr>
          <w:ilvl w:val="0"/>
          <w:numId w:val="2"/>
        </w:numPr>
        <w:spacing w:before="0" w:after="60"/>
      </w:pPr>
      <w:r>
        <w:rPr>
          <w:rFonts w:ascii="Arial" w:cs="Arial" w:eastAsia="Arial" w:hAnsi="Arial"/>
          <w:sz w:val="22"/>
          <w:szCs w:val="22"/>
        </w:rPr>
        <w:t xml:space="preserve">sig: the signature over JCS(signed). Contains: alg ('ed25519'), kid (key identifier), and sig_b64 (base64-encoded signature bytes).</w:t>
      </w:r>
    </w:p>
    <w:p>
      <w:pPr>
        <w:pStyle w:val="ListParagraph"/>
        <w:numPr>
          <w:ilvl w:val="0"/>
          <w:numId w:val="2"/>
        </w:numPr>
        <w:spacing w:before="0" w:after="60"/>
      </w:pPr>
      <w:r>
        <w:rPr>
          <w:rFonts w:ascii="Arial" w:cs="Arial" w:eastAsia="Arial" w:hAnsi="Arial"/>
          <w:sz w:val="22"/>
          <w:szCs w:val="22"/>
        </w:rPr>
        <w:t xml:space="preserve">canon: the canonicalization algorithm identifier ('json.jcs.v1'). Explicit inclusion allows future algorithm agility.</w:t>
      </w:r>
    </w:p>
    <w:p>
      <w:pPr>
        <w:spacing w:before="0" w:after="120"/>
      </w:pPr>
      <w:r>
        <w:rPr>
          <w:rFonts w:ascii="Arial" w:cs="Arial" w:eastAsia="Arial" w:hAnsi="Arial"/>
          <w:sz w:val="22"/>
          <w:szCs w:val="22"/>
        </w:rPr>
        <w:t xml:space="preserve">The payload is either inline (signed.payload) or referenced (signed.payload_ref). Inline payloads are committed together with the envelope; referenced payloads are stored separately and retrieved by hash. The payload_hash MUST equal HASHSTR(H('payload.v1', JCS(payload))) regardless of storage mode.</w:t>
      </w:r>
    </w:p>
    <w:p>
      <w:pPr>
        <w:spacing w:before="0" w:after="120"/>
      </w:pPr>
      <w:r>
        <w:rPr>
          <w:rFonts w:ascii="Arial" w:cs="Arial" w:eastAsia="Arial" w:hAnsi="Arial"/>
          <w:sz w:val="22"/>
          <w:szCs w:val="22"/>
        </w:rPr>
        <w:t xml:space="preserve">The envelope ID is computed as HASHSTR(H('envelope.v1', JCS(envelope))), covering the complete envelope including the signature. This means the envelope ID commits to both the content and the signing key — an envelope re-signed by a different key produces a different ID.</w:t>
      </w:r>
    </w:p>
    <w:p>
      <w:pPr>
        <w:pStyle w:val="Heading2"/>
        <w:spacing w:before="240" w:after="80"/>
      </w:pPr>
      <w:r>
        <w:rPr>
          <w:rFonts w:ascii="Arial" w:cs="Arial" w:eastAsia="Arial" w:hAnsi="Arial"/>
          <w:b/>
          <w:bCs/>
          <w:color w:val="2E75B6"/>
          <w:sz w:val="26"/>
          <w:szCs w:val="26"/>
        </w:rPr>
        <w:t xml:space="preserve">5.4 TimeChain Blocks</w:t>
      </w:r>
    </w:p>
    <w:p>
      <w:pPr>
        <w:spacing w:before="0" w:after="120"/>
      </w:pPr>
      <w:r>
        <w:rPr>
          <w:rFonts w:ascii="Arial" w:cs="Arial" w:eastAsia="Arial" w:hAnsi="Arial"/>
          <w:sz w:val="22"/>
          <w:szCs w:val="22"/>
        </w:rPr>
        <w:t xml:space="preserve">A TimeChain block commits to all events that occurred within a fixed time window. Block structure:</w:t>
      </w:r>
    </w:p>
    <w:p>
      <w:pPr>
        <w:pStyle w:val="ListParagraph"/>
        <w:numPr>
          <w:ilvl w:val="0"/>
          <w:numId w:val="2"/>
        </w:numPr>
        <w:spacing w:before="0" w:after="60"/>
      </w:pPr>
      <w:r>
        <w:rPr>
          <w:rFonts w:ascii="Arial" w:cs="Arial" w:eastAsia="Arial" w:hAnsi="Arial"/>
          <w:sz w:val="22"/>
          <w:szCs w:val="22"/>
        </w:rPr>
        <w:t xml:space="preserve">height: monotonically increasing integer, starting at 0 for genesis.</w:t>
      </w:r>
    </w:p>
    <w:p>
      <w:pPr>
        <w:pStyle w:val="ListParagraph"/>
        <w:numPr>
          <w:ilvl w:val="0"/>
          <w:numId w:val="2"/>
        </w:numPr>
        <w:spacing w:before="0" w:after="60"/>
      </w:pPr>
      <w:r>
        <w:rPr>
          <w:rFonts w:ascii="Arial" w:cs="Arial" w:eastAsia="Arial" w:hAnsi="Arial"/>
          <w:sz w:val="22"/>
          <w:szCs w:val="22"/>
        </w:rPr>
        <w:t xml:space="preserve">window: start_ns and duration_ns, both integers. duration_ns MUST be between 1 and 60,000,000,000 ns (1 minute maximum window).</w:t>
      </w:r>
    </w:p>
    <w:p>
      <w:pPr>
        <w:pStyle w:val="ListParagraph"/>
        <w:numPr>
          <w:ilvl w:val="0"/>
          <w:numId w:val="2"/>
        </w:numPr>
        <w:spacing w:before="0" w:after="60"/>
      </w:pPr>
      <w:r>
        <w:rPr>
          <w:rFonts w:ascii="Arial" w:cs="Arial" w:eastAsia="Arial" w:hAnsi="Arial"/>
          <w:sz w:val="22"/>
          <w:szCs w:val="22"/>
        </w:rPr>
        <w:t xml:space="preserve">prev_block_hash: hash of the preceding block. For genesis (height=0), this MUST be sha256:000...0 (32 zero bytes).</w:t>
      </w:r>
    </w:p>
    <w:p>
      <w:pPr>
        <w:pStyle w:val="ListParagraph"/>
        <w:numPr>
          <w:ilvl w:val="0"/>
          <w:numId w:val="2"/>
        </w:numPr>
        <w:spacing w:before="0" w:after="60"/>
      </w:pPr>
      <w:r>
        <w:rPr>
          <w:rFonts w:ascii="Arial" w:cs="Arial" w:eastAsia="Arial" w:hAnsi="Arial"/>
          <w:sz w:val="22"/>
          <w:szCs w:val="22"/>
        </w:rPr>
        <w:t xml:space="preserve">event_hashes: sorted list of envelope IDs for all events in this window. Sorted lexicographically by raw hash bytes (not by string representation).</w:t>
      </w:r>
    </w:p>
    <w:p>
      <w:pPr>
        <w:pStyle w:val="ListParagraph"/>
        <w:numPr>
          <w:ilvl w:val="0"/>
          <w:numId w:val="2"/>
        </w:numPr>
        <w:spacing w:before="0" w:after="60"/>
      </w:pPr>
      <w:r>
        <w:rPr>
          <w:rFonts w:ascii="Arial" w:cs="Arial" w:eastAsia="Arial" w:hAnsi="Arial"/>
          <w:sz w:val="22"/>
          <w:szCs w:val="22"/>
        </w:rPr>
        <w:t xml:space="preserve">event_digest: HASHSTR(H('event_digest.v1', 0x01 || concat(sorted_event_hash_bytes))). The 0x01 prefix byte is a length-disambiguator.</w:t>
      </w:r>
    </w:p>
    <w:p>
      <w:pPr>
        <w:spacing w:before="0" w:after="120"/>
      </w:pPr>
      <w:r>
        <w:rPr>
          <w:rFonts w:ascii="Arial" w:cs="Arial" w:eastAsia="Arial" w:hAnsi="Arial"/>
          <w:sz w:val="22"/>
          <w:szCs w:val="22"/>
        </w:rPr>
        <w:t xml:space="preserve">The block ID is HASHSTR(H('block.v1', JCS(block))). The prev_block_hash creates the chain: any modification to a block changes its ID, which breaks the next block's prev_block_hash reference, which is detectable.</w:t>
      </w:r>
    </w:p>
    <w:p>
      <w:pPr>
        <w:pStyle w:val="Heading2"/>
        <w:spacing w:before="240" w:after="80"/>
      </w:pPr>
      <w:r>
        <w:rPr>
          <w:rFonts w:ascii="Arial" w:cs="Arial" w:eastAsia="Arial" w:hAnsi="Arial"/>
          <w:b/>
          <w:bCs/>
          <w:color w:val="2E75B6"/>
          <w:sz w:val="26"/>
          <w:szCs w:val="26"/>
        </w:rPr>
        <w:t xml:space="preserve">5.5 Finalization</w:t>
      </w:r>
    </w:p>
    <w:p>
      <w:pPr>
        <w:spacing w:before="0" w:after="120"/>
      </w:pPr>
      <w:r>
        <w:rPr>
          <w:rFonts w:ascii="Arial" w:cs="Arial" w:eastAsia="Arial" w:hAnsi="Arial"/>
          <w:sz w:val="22"/>
          <w:szCs w:val="22"/>
        </w:rPr>
        <w:t xml:space="preserve">Finalization commits a range of blocks to a single range_root hash. The computation:</w:t>
      </w:r>
    </w:p>
    <w:p>
      <w:pPr>
        <w:spacing w:before="60" w:after="60"/>
        <w:ind w:left="720"/>
      </w:pPr>
      <w:r>
        <w:rPr>
          <w:rFonts w:ascii="Courier New" w:cs="Courier New" w:eastAsia="Courier New" w:hAnsi="Courier New"/>
          <w:color w:val="333333"/>
          <w:sz w:val="18"/>
          <w:szCs w:val="18"/>
        </w:rPr>
        <w:t xml:space="preserve">acc = 32 zero bytes</w:t>
      </w:r>
    </w:p>
    <w:p>
      <w:pPr>
        <w:spacing w:before="60" w:after="60"/>
        <w:ind w:left="720"/>
      </w:pPr>
      <w:r>
        <w:rPr>
          <w:rFonts w:ascii="Courier New" w:cs="Courier New" w:eastAsia="Courier New" w:hAnsi="Courier New"/>
          <w:color w:val="333333"/>
          <w:sz w:val="18"/>
          <w:szCs w:val="18"/>
        </w:rPr>
        <w:t xml:space="preserve">for each height i from start to end inclusive:</w:t>
      </w:r>
    </w:p>
    <w:p>
      <w:pPr>
        <w:spacing w:before="60" w:after="60"/>
        <w:ind w:left="720"/>
      </w:pPr>
      <w:r>
        <w:rPr>
          <w:rFonts w:ascii="Courier New" w:cs="Courier New" w:eastAsia="Courier New" w:hAnsi="Courier New"/>
          <w:color w:val="333333"/>
          <w:sz w:val="18"/>
          <w:szCs w:val="18"/>
        </w:rPr>
        <w:t xml:space="preserve">  acc = H('range_step.v1', acc || U64BE(i) || block_id_bytes(i))</w:t>
      </w:r>
    </w:p>
    <w:p>
      <w:pPr>
        <w:spacing w:before="60" w:after="60"/>
        <w:ind w:left="720"/>
      </w:pPr>
      <w:r>
        <w:rPr>
          <w:rFonts w:ascii="Courier New" w:cs="Courier New" w:eastAsia="Courier New" w:hAnsi="Courier New"/>
          <w:color w:val="333333"/>
          <w:sz w:val="18"/>
          <w:szCs w:val="18"/>
        </w:rPr>
        <w:t xml:space="preserve">range_root = HASHSTR(H('range_root.v1', acc || U64BE(start) || U64BE(end)))</w:t>
      </w:r>
    </w:p>
    <w:p>
      <w:pPr>
        <w:spacing w:before="0" w:after="120"/>
      </w:pPr>
      <w:r>
        <w:rPr>
          <w:rFonts w:ascii="Arial" w:cs="Arial" w:eastAsia="Arial" w:hAnsi="Arial"/>
          <w:sz w:val="22"/>
          <w:szCs w:val="22"/>
        </w:rPr>
        <w:t xml:space="preserve">The range_root is a rolling accumulation over block IDs. It cannot be computed without knowing every block in the range, in order. If any block is modified, the range_root changes. The finalization record can be sealed into a TPM, providing a hardware-rooted anchor for the entire range.</w:t>
      </w:r>
    </w:p>
    <w:p>
      <w:pPr>
        <w:pStyle w:val="Heading2"/>
        <w:spacing w:before="240" w:after="80"/>
      </w:pPr>
      <w:r>
        <w:rPr>
          <w:rFonts w:ascii="Arial" w:cs="Arial" w:eastAsia="Arial" w:hAnsi="Arial"/>
          <w:b/>
          <w:bCs/>
          <w:color w:val="2E75B6"/>
          <w:sz w:val="26"/>
          <w:szCs w:val="26"/>
        </w:rPr>
        <w:t xml:space="preserve">5.6 Keyring</w:t>
      </w:r>
    </w:p>
    <w:p>
      <w:pPr>
        <w:spacing w:before="0" w:after="120"/>
      </w:pPr>
      <w:r>
        <w:rPr>
          <w:rFonts w:ascii="Arial" w:cs="Arial" w:eastAsia="Arial" w:hAnsi="Arial"/>
          <w:sz w:val="22"/>
          <w:szCs w:val="22"/>
        </w:rPr>
        <w:t xml:space="preserve">The keyring (keyring.v1) is a bounded list of verification keys. Each key entry has: a kid (key identifier), an algorithm, and the public key bytes. The kid in each envelope's sig field references a specific keyring entry.</w:t>
      </w:r>
    </w:p>
    <w:p>
      <w:pPr>
        <w:spacing w:before="0" w:after="120"/>
      </w:pPr>
      <w:r>
        <w:rPr>
          <w:rFonts w:ascii="Arial" w:cs="Arial" w:eastAsia="Arial" w:hAnsi="Arial"/>
          <w:sz w:val="22"/>
          <w:szCs w:val="22"/>
        </w:rPr>
        <w:t xml:space="preserve">The keyring is a first-class verifiable object — it is itself hashed and can be attested. This means the set of trusted keys for verifying a ledger is itself part of the verifiable chain, not an external assumption.</w:t>
      </w:r>
    </w:p>
    <w:p>
      <w:r>
        <w:t xml:space="preserve"/>
      </w:r>
    </w:p>
    <w:p>
      <w:pPr>
        <w:pStyle w:val="Heading1"/>
        <w:spacing w:before="360" w:after="120"/>
      </w:pPr>
      <w:r>
        <w:rPr>
          <w:rFonts w:ascii="Arial" w:cs="Arial" w:eastAsia="Arial" w:hAnsi="Arial"/>
          <w:b/>
          <w:bCs/>
          <w:color w:val="1F4E79"/>
          <w:sz w:val="32"/>
          <w:szCs w:val="32"/>
        </w:rPr>
        <w:t xml:space="preserve">6. Protocols</w:t>
      </w:r>
    </w:p>
    <w:p>
      <w:pPr>
        <w:pStyle w:val="Heading2"/>
        <w:spacing w:before="240" w:after="80"/>
      </w:pPr>
      <w:r>
        <w:rPr>
          <w:rFonts w:ascii="Arial" w:cs="Arial" w:eastAsia="Arial" w:hAnsi="Arial"/>
          <w:b/>
          <w:bCs/>
          <w:color w:val="2E75B6"/>
          <w:sz w:val="26"/>
          <w:szCs w:val="26"/>
        </w:rPr>
        <w:t xml:space="preserve">6.1 Ingestion</w:t>
      </w:r>
    </w:p>
    <w:p>
      <w:pPr>
        <w:spacing w:before="0" w:after="120"/>
      </w:pPr>
      <w:r>
        <w:rPr>
          <w:rFonts w:ascii="Arial" w:cs="Arial" w:eastAsia="Arial" w:hAnsi="Arial"/>
          <w:sz w:val="22"/>
          <w:szCs w:val="22"/>
        </w:rPr>
        <w:t xml:space="preserve">Ingestion is the process of converting an observed event into a committed envelope. The ingestion protocol:</w:t>
      </w:r>
    </w:p>
    <w:p>
      <w:pPr>
        <w:pStyle w:val="ListParagraph"/>
        <w:numPr>
          <w:ilvl w:val="0"/>
          <w:numId w:val="2"/>
        </w:numPr>
        <w:spacing w:before="0" w:after="60"/>
      </w:pPr>
      <w:r>
        <w:rPr>
          <w:rFonts w:ascii="Arial" w:cs="Arial" w:eastAsia="Arial" w:hAnsi="Arial"/>
          <w:sz w:val="22"/>
          <w:szCs w:val="22"/>
        </w:rPr>
        <w:t xml:space="preserve">Validate the event against the ws.event.v1 schema.</w:t>
      </w:r>
    </w:p>
    <w:p>
      <w:pPr>
        <w:pStyle w:val="ListParagraph"/>
        <w:numPr>
          <w:ilvl w:val="0"/>
          <w:numId w:val="2"/>
        </w:numPr>
        <w:spacing w:before="0" w:after="60"/>
      </w:pPr>
      <w:r>
        <w:rPr>
          <w:rFonts w:ascii="Arial" w:cs="Arial" w:eastAsia="Arial" w:hAnsi="Arial"/>
          <w:sz w:val="22"/>
          <w:szCs w:val="22"/>
        </w:rPr>
        <w:t xml:space="preserve">Compute payload_hash = HASHSTR(H('payload.v1', JCS(payload))).</w:t>
      </w:r>
    </w:p>
    <w:p>
      <w:pPr>
        <w:pStyle w:val="ListParagraph"/>
        <w:numPr>
          <w:ilvl w:val="0"/>
          <w:numId w:val="2"/>
        </w:numPr>
        <w:spacing w:before="0" w:after="60"/>
      </w:pPr>
      <w:r>
        <w:rPr>
          <w:rFonts w:ascii="Arial" w:cs="Arial" w:eastAsia="Arial" w:hAnsi="Arial"/>
          <w:sz w:val="22"/>
          <w:szCs w:val="22"/>
        </w:rPr>
        <w:t xml:space="preserve">Construct the signed portion of the envelope.</w:t>
      </w:r>
    </w:p>
    <w:p>
      <w:pPr>
        <w:pStyle w:val="ListParagraph"/>
        <w:numPr>
          <w:ilvl w:val="0"/>
          <w:numId w:val="2"/>
        </w:numPr>
        <w:spacing w:before="0" w:after="60"/>
      </w:pPr>
      <w:r>
        <w:rPr>
          <w:rFonts w:ascii="Arial" w:cs="Arial" w:eastAsia="Arial" w:hAnsi="Arial"/>
          <w:sz w:val="22"/>
          <w:szCs w:val="22"/>
        </w:rPr>
        <w:t xml:space="preserve">Sign with the device Ed25519 key: sig = Ed25519_sign(privkey, JCS(envelope.signed)).</w:t>
      </w:r>
    </w:p>
    <w:p>
      <w:pPr>
        <w:pStyle w:val="ListParagraph"/>
        <w:numPr>
          <w:ilvl w:val="0"/>
          <w:numId w:val="2"/>
        </w:numPr>
        <w:spacing w:before="0" w:after="60"/>
      </w:pPr>
      <w:r>
        <w:rPr>
          <w:rFonts w:ascii="Arial" w:cs="Arial" w:eastAsia="Arial" w:hAnsi="Arial"/>
          <w:sz w:val="22"/>
          <w:szCs w:val="22"/>
        </w:rPr>
        <w:t xml:space="preserve">Store the payload by hash (content-addressed, immutable).</w:t>
      </w:r>
    </w:p>
    <w:p>
      <w:pPr>
        <w:pStyle w:val="ListParagraph"/>
        <w:numPr>
          <w:ilvl w:val="0"/>
          <w:numId w:val="2"/>
        </w:numPr>
        <w:spacing w:before="0" w:after="60"/>
      </w:pPr>
      <w:r>
        <w:rPr>
          <w:rFonts w:ascii="Arial" w:cs="Arial" w:eastAsia="Arial" w:hAnsi="Arial"/>
          <w:sz w:val="22"/>
          <w:szCs w:val="22"/>
        </w:rPr>
        <w:t xml:space="preserve">Store the envelope by its envelope ID.</w:t>
      </w:r>
    </w:p>
    <w:p>
      <w:pPr>
        <w:pStyle w:val="ListParagraph"/>
        <w:numPr>
          <w:ilvl w:val="0"/>
          <w:numId w:val="2"/>
        </w:numPr>
        <w:spacing w:before="0" w:after="60"/>
      </w:pPr>
      <w:r>
        <w:rPr>
          <w:rFonts w:ascii="Arial" w:cs="Arial" w:eastAsia="Arial" w:hAnsi="Arial"/>
          <w:sz w:val="22"/>
          <w:szCs w:val="22"/>
        </w:rPr>
        <w:t xml:space="preserve">Add the envelope ID to the current block's pending event list.</w:t>
      </w:r>
    </w:p>
    <w:p>
      <w:pPr>
        <w:spacing w:before="0" w:after="120"/>
      </w:pPr>
      <w:r>
        <w:rPr>
          <w:rFonts w:ascii="Arial" w:cs="Arial" w:eastAsia="Arial" w:hAnsi="Arial"/>
          <w:sz w:val="22"/>
          <w:szCs w:val="22"/>
        </w:rPr>
        <w:t xml:space="preserve">Ingestion is single-writer. Only one process may ingest into a ledger at a time, enforced by a single-writer lock. Concurrent access would produce race conditions in the pending event list and potentially in block assembly.</w:t>
      </w:r>
    </w:p>
    <w:p>
      <w:pPr>
        <w:pStyle w:val="Heading2"/>
        <w:spacing w:before="240" w:after="80"/>
      </w:pPr>
      <w:r>
        <w:rPr>
          <w:rFonts w:ascii="Arial" w:cs="Arial" w:eastAsia="Arial" w:hAnsi="Arial"/>
          <w:b/>
          <w:bCs/>
          <w:color w:val="2E75B6"/>
          <w:sz w:val="26"/>
          <w:szCs w:val="26"/>
        </w:rPr>
        <w:t xml:space="preserve">6.2 Block Assembly</w:t>
      </w:r>
    </w:p>
    <w:p>
      <w:pPr>
        <w:spacing w:before="0" w:after="120"/>
      </w:pPr>
      <w:r>
        <w:rPr>
          <w:rFonts w:ascii="Arial" w:cs="Arial" w:eastAsia="Arial" w:hAnsi="Arial"/>
          <w:sz w:val="22"/>
          <w:szCs w:val="22"/>
        </w:rPr>
        <w:t xml:space="preserve">Block assembly closes the current time window and commits a block. The assembly protocol:</w:t>
      </w:r>
    </w:p>
    <w:p>
      <w:pPr>
        <w:pStyle w:val="ListParagraph"/>
        <w:numPr>
          <w:ilvl w:val="0"/>
          <w:numId w:val="2"/>
        </w:numPr>
        <w:spacing w:before="0" w:after="60"/>
      </w:pPr>
      <w:r>
        <w:rPr>
          <w:rFonts w:ascii="Arial" w:cs="Arial" w:eastAsia="Arial" w:hAnsi="Arial"/>
          <w:sz w:val="22"/>
          <w:szCs w:val="22"/>
        </w:rPr>
        <w:t xml:space="preserve">Close the current window: record the end time.</w:t>
      </w:r>
    </w:p>
    <w:p>
      <w:pPr>
        <w:pStyle w:val="ListParagraph"/>
        <w:numPr>
          <w:ilvl w:val="0"/>
          <w:numId w:val="2"/>
        </w:numPr>
        <w:spacing w:before="0" w:after="60"/>
      </w:pPr>
      <w:r>
        <w:rPr>
          <w:rFonts w:ascii="Arial" w:cs="Arial" w:eastAsia="Arial" w:hAnsi="Arial"/>
          <w:sz w:val="22"/>
          <w:szCs w:val="22"/>
        </w:rPr>
        <w:t xml:space="preserve">Sort the pending event hashes lexicographically by raw hash bytes.</w:t>
      </w:r>
    </w:p>
    <w:p>
      <w:pPr>
        <w:pStyle w:val="ListParagraph"/>
        <w:numPr>
          <w:ilvl w:val="0"/>
          <w:numId w:val="2"/>
        </w:numPr>
        <w:spacing w:before="0" w:after="60"/>
      </w:pPr>
      <w:r>
        <w:rPr>
          <w:rFonts w:ascii="Arial" w:cs="Arial" w:eastAsia="Arial" w:hAnsi="Arial"/>
          <w:sz w:val="22"/>
          <w:szCs w:val="22"/>
        </w:rPr>
        <w:t xml:space="preserve">Compute the event_digest.</w:t>
      </w:r>
    </w:p>
    <w:p>
      <w:pPr>
        <w:pStyle w:val="ListParagraph"/>
        <w:numPr>
          <w:ilvl w:val="0"/>
          <w:numId w:val="2"/>
        </w:numPr>
        <w:spacing w:before="0" w:after="60"/>
      </w:pPr>
      <w:r>
        <w:rPr>
          <w:rFonts w:ascii="Arial" w:cs="Arial" w:eastAsia="Arial" w:hAnsi="Arial"/>
          <w:sz w:val="22"/>
          <w:szCs w:val="22"/>
        </w:rPr>
        <w:t xml:space="preserve">Retrieve the previous block's ID (or use the genesis prev_block_hash).</w:t>
      </w:r>
    </w:p>
    <w:p>
      <w:pPr>
        <w:pStyle w:val="ListParagraph"/>
        <w:numPr>
          <w:ilvl w:val="0"/>
          <w:numId w:val="2"/>
        </w:numPr>
        <w:spacing w:before="0" w:after="60"/>
      </w:pPr>
      <w:r>
        <w:rPr>
          <w:rFonts w:ascii="Arial" w:cs="Arial" w:eastAsia="Arial" w:hAnsi="Arial"/>
          <w:sz w:val="22"/>
          <w:szCs w:val="22"/>
        </w:rPr>
        <w:t xml:space="preserve">Construct and store the block.</w:t>
      </w:r>
    </w:p>
    <w:p>
      <w:pPr>
        <w:pStyle w:val="ListParagraph"/>
        <w:numPr>
          <w:ilvl w:val="0"/>
          <w:numId w:val="2"/>
        </w:numPr>
        <w:spacing w:before="0" w:after="60"/>
      </w:pPr>
      <w:r>
        <w:rPr>
          <w:rFonts w:ascii="Arial" w:cs="Arial" w:eastAsia="Arial" w:hAnsi="Arial"/>
          <w:sz w:val="22"/>
          <w:szCs w:val="22"/>
        </w:rPr>
        <w:t xml:space="preserve">Open a new pending event list for the next window.</w:t>
      </w:r>
    </w:p>
    <w:p>
      <w:pPr>
        <w:spacing w:before="0" w:after="120"/>
      </w:pPr>
      <w:r>
        <w:rPr>
          <w:rFonts w:ascii="Arial" w:cs="Arial" w:eastAsia="Arial" w:hAnsi="Arial"/>
          <w:sz w:val="22"/>
          <w:szCs w:val="22"/>
        </w:rPr>
        <w:t xml:space="preserve">Block assembly is idempotent with respect to the event list: re-running assembly over the same events produces the same block. This property is critical for crash recovery.</w:t>
      </w:r>
    </w:p>
    <w:p>
      <w:pPr>
        <w:pStyle w:val="Heading2"/>
        <w:spacing w:before="240" w:after="80"/>
      </w:pPr>
      <w:r>
        <w:rPr>
          <w:rFonts w:ascii="Arial" w:cs="Arial" w:eastAsia="Arial" w:hAnsi="Arial"/>
          <w:b/>
          <w:bCs/>
          <w:color w:val="2E75B6"/>
          <w:sz w:val="26"/>
          <w:szCs w:val="26"/>
        </w:rPr>
        <w:t xml:space="preserve">6.3 Verification</w:t>
      </w:r>
    </w:p>
    <w:p>
      <w:pPr>
        <w:spacing w:before="0" w:after="120"/>
      </w:pPr>
      <w:r>
        <w:rPr>
          <w:rFonts w:ascii="Arial" w:cs="Arial" w:eastAsia="Arial" w:hAnsi="Arial"/>
          <w:sz w:val="22"/>
          <w:szCs w:val="22"/>
        </w:rPr>
        <w:t xml:space="preserve">The verification protocol has three modes:</w:t>
      </w:r>
    </w:p>
    <w:p>
      <w:pPr>
        <w:pStyle w:val="ListParagraph"/>
        <w:numPr>
          <w:ilvl w:val="0"/>
          <w:numId w:val="2"/>
        </w:numPr>
        <w:spacing w:before="0" w:after="60"/>
      </w:pPr>
      <w:r>
        <w:rPr>
          <w:rFonts w:ascii="Arial" w:cs="Arial" w:eastAsia="Arial" w:hAnsi="Arial"/>
          <w:sz w:val="22"/>
          <w:szCs w:val="22"/>
        </w:rPr>
        <w:t xml:space="preserve">Fast: verify the HEAD block hash chain back to genesis, and verify a sample of envelope signatures. Does not verify all payloads.</w:t>
      </w:r>
    </w:p>
    <w:p>
      <w:pPr>
        <w:pStyle w:val="ListParagraph"/>
        <w:numPr>
          <w:ilvl w:val="0"/>
          <w:numId w:val="2"/>
        </w:numPr>
        <w:spacing w:before="0" w:after="60"/>
      </w:pPr>
      <w:r>
        <w:rPr>
          <w:rFonts w:ascii="Arial" w:cs="Arial" w:eastAsia="Arial" w:hAnsi="Arial"/>
          <w:sz w:val="22"/>
          <w:szCs w:val="22"/>
        </w:rPr>
        <w:t xml:space="preserve">Full: verify the complete chain and all envelope signatures. Does not re-verify payload hashes if already stored content-addressed.</w:t>
      </w:r>
    </w:p>
    <w:p>
      <w:pPr>
        <w:pStyle w:val="ListParagraph"/>
        <w:numPr>
          <w:ilvl w:val="0"/>
          <w:numId w:val="2"/>
        </w:numPr>
        <w:spacing w:before="0" w:after="60"/>
      </w:pPr>
      <w:r>
        <w:rPr>
          <w:rFonts w:ascii="Arial" w:cs="Arial" w:eastAsia="Arial" w:hAnsi="Arial"/>
          <w:sz w:val="22"/>
          <w:szCs w:val="22"/>
        </w:rPr>
        <w:t xml:space="preserve">Paranoid: verify the complete chain, all signatures, and all payload hashes by recomputing from stored bytes. This is the authoritative mode for export verification.</w:t>
      </w:r>
    </w:p>
    <w:p>
      <w:pPr>
        <w:spacing w:before="0" w:after="120"/>
      </w:pPr>
      <w:r>
        <w:rPr>
          <w:rFonts w:ascii="Arial" w:cs="Arial" w:eastAsia="Arial" w:hAnsi="Arial"/>
          <w:sz w:val="22"/>
          <w:szCs w:val="22"/>
        </w:rPr>
        <w:t xml:space="preserve">Verification failure at any point causes rejection of the affected range. Partial acceptance is not permitted — it would produce a verified prefix that a verifier might rely on, creating a trust boundary inside the chain rather than at the boundary.</w:t>
      </w:r>
    </w:p>
    <w:p>
      <w:pPr>
        <w:pStyle w:val="Heading2"/>
        <w:spacing w:before="240" w:after="80"/>
      </w:pPr>
      <w:r>
        <w:rPr>
          <w:rFonts w:ascii="Arial" w:cs="Arial" w:eastAsia="Arial" w:hAnsi="Arial"/>
          <w:b/>
          <w:bCs/>
          <w:color w:val="2E75B6"/>
          <w:sz w:val="26"/>
          <w:szCs w:val="26"/>
        </w:rPr>
        <w:t xml:space="preserve">6.4 Export and Import</w:t>
      </w:r>
    </w:p>
    <w:p>
      <w:pPr>
        <w:spacing w:before="0" w:after="120"/>
      </w:pPr>
      <w:r>
        <w:rPr>
          <w:rFonts w:ascii="Arial" w:cs="Arial" w:eastAsia="Arial" w:hAnsi="Arial"/>
          <w:sz w:val="22"/>
          <w:szCs w:val="22"/>
        </w:rPr>
        <w:t xml:space="preserve">Export produces a deterministic bundle of: all blocks in the specified range, all envelopes referenced by those blocks, all payloads referenced by those envelopes, the ledger HEAD record, and an export manifest.</w:t>
      </w:r>
    </w:p>
    <w:p>
      <w:pPr>
        <w:spacing w:before="0" w:after="120"/>
      </w:pPr>
      <w:r>
        <w:rPr>
          <w:rFonts w:ascii="Arial" w:cs="Arial" w:eastAsia="Arial" w:hAnsi="Arial"/>
          <w:sz w:val="22"/>
          <w:szCs w:val="22"/>
        </w:rPr>
        <w:t xml:space="preserve">The export manifest (ledger.export.manifest.v1) contains a file_index of every exported file with its domain-separated hash, and a bundle_hash over the complete sorted file_index. The bundle_hash computation is:</w:t>
      </w:r>
    </w:p>
    <w:p>
      <w:pPr>
        <w:spacing w:before="60" w:after="60"/>
        <w:ind w:left="720"/>
      </w:pPr>
      <w:r>
        <w:rPr>
          <w:rFonts w:ascii="Courier New" w:cs="Courier New" w:eastAsia="Courier New" w:hAnsi="Courier New"/>
          <w:color w:val="333333"/>
          <w:sz w:val="18"/>
          <w:szCs w:val="18"/>
        </w:rPr>
        <w:t xml:space="preserve">acc = 32 zero bytes</w:t>
      </w:r>
    </w:p>
    <w:p>
      <w:pPr>
        <w:spacing w:before="60" w:after="60"/>
        <w:ind w:left="720"/>
      </w:pPr>
      <w:r>
        <w:rPr>
          <w:rFonts w:ascii="Courier New" w:cs="Courier New" w:eastAsia="Courier New" w:hAnsi="Courier New"/>
          <w:color w:val="333333"/>
          <w:sz w:val="18"/>
          <w:szCs w:val="18"/>
        </w:rPr>
        <w:t xml:space="preserve">for each file entry sorted by path:</w:t>
      </w:r>
    </w:p>
    <w:p>
      <w:pPr>
        <w:spacing w:before="60" w:after="60"/>
        <w:ind w:left="720"/>
      </w:pPr>
      <w:r>
        <w:rPr>
          <w:rFonts w:ascii="Courier New" w:cs="Courier New" w:eastAsia="Courier New" w:hAnsi="Courier New"/>
          <w:color w:val="333333"/>
          <w:sz w:val="18"/>
          <w:szCs w:val="18"/>
        </w:rPr>
        <w:t xml:space="preserve">  acc = H('export_step.v1', acc || H('export_file.v1', file_bytes))</w:t>
      </w:r>
    </w:p>
    <w:p>
      <w:pPr>
        <w:spacing w:before="60" w:after="60"/>
        <w:ind w:left="720"/>
      </w:pPr>
      <w:r>
        <w:rPr>
          <w:rFonts w:ascii="Courier New" w:cs="Courier New" w:eastAsia="Courier New" w:hAnsi="Courier New"/>
          <w:color w:val="333333"/>
          <w:sz w:val="18"/>
          <w:szCs w:val="18"/>
        </w:rPr>
        <w:t xml:space="preserve">bundle_hash = HASHSTR(H('export_root.v1', acc))</w:t>
      </w:r>
    </w:p>
    <w:p>
      <w:pPr>
        <w:spacing w:before="0" w:after="120"/>
      </w:pPr>
      <w:r>
        <w:rPr>
          <w:rFonts w:ascii="Arial" w:cs="Arial" w:eastAsia="Arial" w:hAnsi="Arial"/>
          <w:sz w:val="22"/>
          <w:szCs w:val="22"/>
        </w:rPr>
        <w:t xml:space="preserve">Import verifies the manifest bundle_hash before unpacking any content. If the bundle_hash does not match, the import is rejected entirely. This ensures that a tampered export is detected before any content is written to the local store.</w:t>
      </w:r>
    </w:p>
    <w:p>
      <w:r>
        <w:t xml:space="preserve"/>
      </w:r>
    </w:p>
    <w:p>
      <w:pPr>
        <w:pStyle w:val="Heading1"/>
        <w:spacing w:before="360" w:after="120"/>
      </w:pPr>
      <w:r>
        <w:rPr>
          <w:rFonts w:ascii="Arial" w:cs="Arial" w:eastAsia="Arial" w:hAnsi="Arial"/>
          <w:b/>
          <w:bCs/>
          <w:color w:val="1F4E79"/>
          <w:sz w:val="32"/>
          <w:szCs w:val="32"/>
        </w:rPr>
        <w:t xml:space="preserve">7. Storage and Crash Consistency</w:t>
      </w:r>
    </w:p>
    <w:p>
      <w:pPr>
        <w:pStyle w:val="Heading2"/>
        <w:spacing w:before="240" w:after="80"/>
      </w:pPr>
      <w:r>
        <w:rPr>
          <w:rFonts w:ascii="Arial" w:cs="Arial" w:eastAsia="Arial" w:hAnsi="Arial"/>
          <w:b/>
          <w:bCs/>
          <w:color w:val="2E75B6"/>
          <w:sz w:val="26"/>
          <w:szCs w:val="26"/>
        </w:rPr>
        <w:t xml:space="preserve">7.1 POSIX Backend</w:t>
      </w:r>
    </w:p>
    <w:p>
      <w:pPr>
        <w:spacing w:before="0" w:after="120"/>
      </w:pPr>
      <w:r>
        <w:rPr>
          <w:rFonts w:ascii="Arial" w:cs="Arial" w:eastAsia="Arial" w:hAnsi="Arial"/>
          <w:sz w:val="22"/>
          <w:szCs w:val="22"/>
        </w:rPr>
        <w:t xml:space="preserve">The reference backend uses POSIX filesystem semantics. Key properties:</w:t>
      </w:r>
    </w:p>
    <w:p>
      <w:pPr>
        <w:pStyle w:val="ListParagraph"/>
        <w:numPr>
          <w:ilvl w:val="0"/>
          <w:numId w:val="2"/>
        </w:numPr>
        <w:spacing w:before="0" w:after="60"/>
      </w:pPr>
      <w:r>
        <w:rPr>
          <w:rFonts w:ascii="Arial" w:cs="Arial" w:eastAsia="Arial" w:hAnsi="Arial"/>
          <w:sz w:val="22"/>
          <w:szCs w:val="22"/>
        </w:rPr>
        <w:t xml:space="preserve">Atomic writes: payloads and envelopes are written atomically using write-to-temp followed by rename. This ensures that a reader never sees a partially-written file.</w:t>
      </w:r>
    </w:p>
    <w:p>
      <w:pPr>
        <w:pStyle w:val="ListParagraph"/>
        <w:numPr>
          <w:ilvl w:val="0"/>
          <w:numId w:val="2"/>
        </w:numPr>
        <w:spacing w:before="0" w:after="60"/>
      </w:pPr>
      <w:r>
        <w:rPr>
          <w:rFonts w:ascii="Arial" w:cs="Arial" w:eastAsia="Arial" w:hAnsi="Arial"/>
          <w:sz w:val="22"/>
          <w:szCs w:val="22"/>
        </w:rPr>
        <w:t xml:space="preserve">Single-writer lock: a filesystem lock prevents concurrent ingestion.</w:t>
      </w:r>
    </w:p>
    <w:p>
      <w:pPr>
        <w:pStyle w:val="ListParagraph"/>
        <w:numPr>
          <w:ilvl w:val="0"/>
          <w:numId w:val="2"/>
        </w:numPr>
        <w:spacing w:before="0" w:after="60"/>
      </w:pPr>
      <w:r>
        <w:rPr>
          <w:rFonts w:ascii="Arial" w:cs="Arial" w:eastAsia="Arial" w:hAnsi="Arial"/>
          <w:sz w:val="22"/>
          <w:szCs w:val="22"/>
        </w:rPr>
        <w:t xml:space="preserve">Content-addressed storage: payloads and envelopes are stored by their hash. This means duplicate content is automatically deduplicated, and a corrupted file is detectable by recomputing its hash.</w:t>
      </w:r>
    </w:p>
    <w:p>
      <w:pPr>
        <w:pStyle w:val="ListParagraph"/>
        <w:numPr>
          <w:ilvl w:val="0"/>
          <w:numId w:val="2"/>
        </w:numPr>
        <w:spacing w:before="0" w:after="60"/>
      </w:pPr>
      <w:r>
        <w:rPr>
          <w:rFonts w:ascii="Arial" w:cs="Arial" w:eastAsia="Arial" w:hAnsi="Arial"/>
          <w:sz w:val="22"/>
          <w:szCs w:val="22"/>
        </w:rPr>
        <w:t xml:space="preserve">Directory sharding: envelopes are stored in a two-level directory hierarchy by hash prefix (e.g., /base/sha256/AB/CD/ABCD...full_hash.json). This prevents inode exhaustion on large ledgers.</w:t>
      </w:r>
    </w:p>
    <w:p>
      <w:pPr>
        <w:pStyle w:val="Heading2"/>
        <w:spacing w:before="240" w:after="80"/>
      </w:pPr>
      <w:r>
        <w:rPr>
          <w:rFonts w:ascii="Arial" w:cs="Arial" w:eastAsia="Arial" w:hAnsi="Arial"/>
          <w:b/>
          <w:bCs/>
          <w:color w:val="2E75B6"/>
          <w:sz w:val="26"/>
          <w:szCs w:val="26"/>
        </w:rPr>
        <w:t xml:space="preserve">7.2 Crash Recovery</w:t>
      </w:r>
    </w:p>
    <w:p>
      <w:pPr>
        <w:spacing w:before="0" w:after="120"/>
      </w:pPr>
      <w:r>
        <w:rPr>
          <w:rFonts w:ascii="Arial" w:cs="Arial" w:eastAsia="Arial" w:hAnsi="Arial"/>
          <w:sz w:val="22"/>
          <w:szCs w:val="22"/>
        </w:rPr>
        <w:t xml:space="preserve">If the system crashes during ingestion:</w:t>
      </w:r>
    </w:p>
    <w:p>
      <w:pPr>
        <w:pStyle w:val="ListParagraph"/>
        <w:numPr>
          <w:ilvl w:val="0"/>
          <w:numId w:val="2"/>
        </w:numPr>
        <w:spacing w:before="0" w:after="60"/>
      </w:pPr>
      <w:r>
        <w:rPr>
          <w:rFonts w:ascii="Arial" w:cs="Arial" w:eastAsia="Arial" w:hAnsi="Arial"/>
          <w:sz w:val="22"/>
          <w:szCs w:val="22"/>
        </w:rPr>
        <w:t xml:space="preserve">A partially-written payload leaves a temp file that is not referenced by any envelope. It is garbage-collected on next startup.</w:t>
      </w:r>
    </w:p>
    <w:p>
      <w:pPr>
        <w:pStyle w:val="ListParagraph"/>
        <w:numPr>
          <w:ilvl w:val="0"/>
          <w:numId w:val="2"/>
        </w:numPr>
        <w:spacing w:before="0" w:after="60"/>
      </w:pPr>
      <w:r>
        <w:rPr>
          <w:rFonts w:ascii="Arial" w:cs="Arial" w:eastAsia="Arial" w:hAnsi="Arial"/>
          <w:sz w:val="22"/>
          <w:szCs w:val="22"/>
        </w:rPr>
        <w:t xml:space="preserve">A partially-written envelope is not present in the storage index. The event is effectively lost; the gap is recorded as a scar receipt.</w:t>
      </w:r>
    </w:p>
    <w:p>
      <w:pPr>
        <w:pStyle w:val="ListParagraph"/>
        <w:numPr>
          <w:ilvl w:val="0"/>
          <w:numId w:val="2"/>
        </w:numPr>
        <w:spacing w:before="0" w:after="60"/>
      </w:pPr>
      <w:r>
        <w:rPr>
          <w:rFonts w:ascii="Arial" w:cs="Arial" w:eastAsia="Arial" w:hAnsi="Arial"/>
          <w:sz w:val="22"/>
          <w:szCs w:val="22"/>
        </w:rPr>
        <w:t xml:space="preserve">A partially-assembled block leaves the pending event list in the previous state. On restart, block assembly is retried from the pending list.</w:t>
      </w:r>
    </w:p>
    <w:p>
      <w:pPr>
        <w:spacing w:before="0" w:after="120"/>
      </w:pPr>
      <w:r>
        <w:rPr>
          <w:rFonts w:ascii="Arial" w:cs="Arial" w:eastAsia="Arial" w:hAnsi="Arial"/>
          <w:sz w:val="22"/>
          <w:szCs w:val="22"/>
        </w:rPr>
        <w:t xml:space="preserve">If the system crashes during block assembly:</w:t>
      </w:r>
    </w:p>
    <w:p>
      <w:pPr>
        <w:pStyle w:val="ListParagraph"/>
        <w:numPr>
          <w:ilvl w:val="0"/>
          <w:numId w:val="2"/>
        </w:numPr>
        <w:spacing w:before="0" w:after="60"/>
      </w:pPr>
      <w:r>
        <w:rPr>
          <w:rFonts w:ascii="Arial" w:cs="Arial" w:eastAsia="Arial" w:hAnsi="Arial"/>
          <w:sz w:val="22"/>
          <w:szCs w:val="22"/>
        </w:rPr>
        <w:t xml:space="preserve">The block file may be partially written. Verification detects the partial write via hash mismatch.</w:t>
      </w:r>
    </w:p>
    <w:p>
      <w:pPr>
        <w:pStyle w:val="ListParagraph"/>
        <w:numPr>
          <w:ilvl w:val="0"/>
          <w:numId w:val="2"/>
        </w:numPr>
        <w:spacing w:before="0" w:after="60"/>
      </w:pPr>
      <w:r>
        <w:rPr>
          <w:rFonts w:ascii="Arial" w:cs="Arial" w:eastAsia="Arial" w:hAnsi="Arial"/>
          <w:sz w:val="22"/>
          <w:szCs w:val="22"/>
        </w:rPr>
        <w:t xml:space="preserve">The previous block's ID is still valid. Recovery involves discarding the partial block and re-running assembly.</w:t>
      </w:r>
    </w:p>
    <w:p>
      <w:pPr>
        <w:spacing w:before="0" w:after="120"/>
      </w:pPr>
      <w:r>
        <w:rPr>
          <w:rFonts w:ascii="Arial" w:cs="Arial" w:eastAsia="Arial" w:hAnsi="Arial"/>
          <w:sz w:val="22"/>
          <w:szCs w:val="22"/>
        </w:rPr>
        <w:t xml:space="preserve">The key insight is that content-addressed storage makes crash recovery deterministic: given the same events, re-running assembly produces the same block. There is no ambiguity about what was committed.</w:t>
      </w:r>
    </w:p>
    <w:p>
      <w:r>
        <w:t xml:space="preserve"/>
      </w:r>
    </w:p>
    <w:p>
      <w:pPr>
        <w:pStyle w:val="Heading1"/>
        <w:spacing w:before="360" w:after="120"/>
      </w:pPr>
      <w:r>
        <w:rPr>
          <w:rFonts w:ascii="Arial" w:cs="Arial" w:eastAsia="Arial" w:hAnsi="Arial"/>
          <w:b/>
          <w:bCs/>
          <w:color w:val="1F4E79"/>
          <w:sz w:val="32"/>
          <w:szCs w:val="32"/>
        </w:rPr>
        <w:t xml:space="preserve">8. Conformance</w:t>
      </w:r>
    </w:p>
    <w:p>
      <w:pPr>
        <w:pStyle w:val="Heading2"/>
        <w:spacing w:before="240" w:after="80"/>
      </w:pPr>
      <w:r>
        <w:rPr>
          <w:rFonts w:ascii="Arial" w:cs="Arial" w:eastAsia="Arial" w:hAnsi="Arial"/>
          <w:b/>
          <w:bCs/>
          <w:color w:val="2E75B6"/>
          <w:sz w:val="26"/>
          <w:szCs w:val="26"/>
        </w:rPr>
        <w:t xml:space="preserve">8.1 Profile System</w:t>
      </w:r>
    </w:p>
    <w:p>
      <w:pPr>
        <w:spacing w:before="0" w:after="120"/>
      </w:pPr>
      <w:r>
        <w:rPr>
          <w:rFonts w:ascii="Arial" w:cs="Arial" w:eastAsia="Arial" w:hAnsi="Arial"/>
          <w:sz w:val="22"/>
          <w:szCs w:val="22"/>
        </w:rPr>
        <w:t xml:space="preserve">Conformance is organized into named profiles. ATS-v0.1 defines two profiles:</w:t>
      </w:r>
    </w:p>
    <w:p>
      <w:pPr>
        <w:pStyle w:val="ListParagraph"/>
        <w:numPr>
          <w:ilvl w:val="0"/>
          <w:numId w:val="2"/>
        </w:numPr>
        <w:spacing w:before="0" w:after="60"/>
      </w:pPr>
      <w:r>
        <w:rPr>
          <w:rFonts w:ascii="Arial" w:cs="Arial" w:eastAsia="Arial" w:hAnsi="Arial"/>
          <w:sz w:val="22"/>
          <w:szCs w:val="22"/>
        </w:rPr>
        <w:t xml:space="preserve">ATS-v0.1-core: the baseline profile. Requires: JCS canonicalization, domain-separated hashing, envelope creation and verification, block genesis and chain verification, and finalization without TPM anchor. This is the minimum viable implementation.</w:t>
      </w:r>
    </w:p>
    <w:p>
      <w:pPr>
        <w:pStyle w:val="ListParagraph"/>
        <w:numPr>
          <w:ilvl w:val="0"/>
          <w:numId w:val="2"/>
        </w:numPr>
        <w:spacing w:before="0" w:after="60"/>
      </w:pPr>
      <w:r>
        <w:rPr>
          <w:rFonts w:ascii="Arial" w:cs="Arial" w:eastAsia="Arial" w:hAnsi="Arial"/>
          <w:sz w:val="22"/>
          <w:szCs w:val="22"/>
        </w:rPr>
        <w:t xml:space="preserve">ATS-v0.1-export: the export/import profile. Requires: export manifest construction and bundle_hash verification. An implementation that does not support export may still be conformant to the core profile.</w:t>
      </w:r>
    </w:p>
    <w:p>
      <w:pPr>
        <w:pStyle w:val="Heading2"/>
        <w:spacing w:before="240" w:after="80"/>
      </w:pPr>
      <w:r>
        <w:rPr>
          <w:rFonts w:ascii="Arial" w:cs="Arial" w:eastAsia="Arial" w:hAnsi="Arial"/>
          <w:b/>
          <w:bCs/>
          <w:color w:val="2E75B6"/>
          <w:sz w:val="26"/>
          <w:szCs w:val="26"/>
        </w:rPr>
        <w:t xml:space="preserve">8.2 Conformance Vectors</w:t>
      </w:r>
    </w:p>
    <w:p>
      <w:pPr>
        <w:spacing w:before="0" w:after="120"/>
      </w:pPr>
      <w:r>
        <w:rPr>
          <w:rFonts w:ascii="Arial" w:cs="Arial" w:eastAsia="Arial" w:hAnsi="Arial"/>
          <w:sz w:val="22"/>
          <w:szCs w:val="22"/>
        </w:rPr>
        <w:t xml:space="preserve">Conformance vectors are byte-level ground truth test cases. Each vector specifies:</w:t>
      </w:r>
    </w:p>
    <w:p>
      <w:pPr>
        <w:pStyle w:val="ListParagraph"/>
        <w:numPr>
          <w:ilvl w:val="0"/>
          <w:numId w:val="2"/>
        </w:numPr>
        <w:spacing w:before="0" w:after="60"/>
      </w:pPr>
      <w:r>
        <w:rPr>
          <w:rFonts w:ascii="Arial" w:cs="Arial" w:eastAsia="Arial" w:hAnsi="Arial"/>
          <w:sz w:val="22"/>
          <w:szCs w:val="22"/>
        </w:rPr>
        <w:t xml:space="preserve">inputs: one or more JSON files with specific content.</w:t>
      </w:r>
    </w:p>
    <w:p>
      <w:pPr>
        <w:pStyle w:val="ListParagraph"/>
        <w:numPr>
          <w:ilvl w:val="0"/>
          <w:numId w:val="2"/>
        </w:numPr>
        <w:spacing w:before="0" w:after="60"/>
      </w:pPr>
      <w:r>
        <w:rPr>
          <w:rFonts w:ascii="Arial" w:cs="Arial" w:eastAsia="Arial" w:hAnsi="Arial"/>
          <w:sz w:val="22"/>
          <w:szCs w:val="22"/>
        </w:rPr>
        <w:t xml:space="preserve">expected: a JSON file describing the expected outcome (pass/fail, output values, error codes).</w:t>
      </w:r>
    </w:p>
    <w:p>
      <w:pPr>
        <w:spacing w:before="0" w:after="120"/>
      </w:pPr>
      <w:r>
        <w:rPr>
          <w:rFonts w:ascii="Arial" w:cs="Arial" w:eastAsia="Arial" w:hAnsi="Arial"/>
          <w:sz w:val="22"/>
          <w:szCs w:val="22"/>
        </w:rPr>
        <w:t xml:space="preserve">Vectors are committed in the conformance/vectors/ directory and listed in conformance/vectors/manifest.v1.json. The manifest includes per-file domain-separated hashes, so the vector set itself is tamper-evident.</w:t>
      </w:r>
    </w:p>
    <w:p>
      <w:pPr>
        <w:spacing w:before="0" w:after="120"/>
      </w:pPr>
      <w:r>
        <w:rPr>
          <w:rFonts w:ascii="Arial" w:cs="Arial" w:eastAsia="Arial" w:hAnsi="Arial"/>
          <w:sz w:val="22"/>
          <w:szCs w:val="22"/>
        </w:rPr>
        <w:t xml:space="preserve">The ATS-v0.1 starter vector set covers:</w:t>
      </w:r>
    </w:p>
    <w:p>
      <w:pPr>
        <w:pStyle w:val="ListParagraph"/>
        <w:numPr>
          <w:ilvl w:val="0"/>
          <w:numId w:val="2"/>
        </w:numPr>
        <w:spacing w:before="0" w:after="60"/>
      </w:pPr>
      <w:r>
        <w:rPr>
          <w:rFonts w:ascii="Arial" w:cs="Arial" w:eastAsia="Arial" w:hAnsi="Arial"/>
          <w:sz w:val="22"/>
          <w:szCs w:val="22"/>
        </w:rPr>
        <w:t xml:space="preserve">V0001: JCS canonical byte production for a reference object.</w:t>
      </w:r>
    </w:p>
    <w:p>
      <w:pPr>
        <w:pStyle w:val="ListParagraph"/>
        <w:numPr>
          <w:ilvl w:val="0"/>
          <w:numId w:val="2"/>
        </w:numPr>
        <w:spacing w:before="0" w:after="60"/>
      </w:pPr>
      <w:r>
        <w:rPr>
          <w:rFonts w:ascii="Arial" w:cs="Arial" w:eastAsia="Arial" w:hAnsi="Arial"/>
          <w:sz w:val="22"/>
          <w:szCs w:val="22"/>
        </w:rPr>
        <w:t xml:space="preserve">V0002: Rejection of floating-point numbers in signed objects.</w:t>
      </w:r>
    </w:p>
    <w:p>
      <w:pPr>
        <w:pStyle w:val="ListParagraph"/>
        <w:numPr>
          <w:ilvl w:val="0"/>
          <w:numId w:val="2"/>
        </w:numPr>
        <w:spacing w:before="0" w:after="60"/>
      </w:pPr>
      <w:r>
        <w:rPr>
          <w:rFonts w:ascii="Arial" w:cs="Arial" w:eastAsia="Arial" w:hAnsi="Arial"/>
          <w:sz w:val="22"/>
          <w:szCs w:val="22"/>
        </w:rPr>
        <w:t xml:space="preserve">V0003: Payload hash computation.</w:t>
      </w:r>
    </w:p>
    <w:p>
      <w:pPr>
        <w:pStyle w:val="ListParagraph"/>
        <w:numPr>
          <w:ilvl w:val="0"/>
          <w:numId w:val="2"/>
        </w:numPr>
        <w:spacing w:before="0" w:after="60"/>
      </w:pPr>
      <w:r>
        <w:rPr>
          <w:rFonts w:ascii="Arial" w:cs="Arial" w:eastAsia="Arial" w:hAnsi="Arial"/>
          <w:sz w:val="22"/>
          <w:szCs w:val="22"/>
        </w:rPr>
        <w:t xml:space="preserve">V0010: Envelope verification success case.</w:t>
      </w:r>
    </w:p>
    <w:p>
      <w:pPr>
        <w:pStyle w:val="ListParagraph"/>
        <w:numPr>
          <w:ilvl w:val="0"/>
          <w:numId w:val="2"/>
        </w:numPr>
        <w:spacing w:before="0" w:after="60"/>
      </w:pPr>
      <w:r>
        <w:rPr>
          <w:rFonts w:ascii="Arial" w:cs="Arial" w:eastAsia="Arial" w:hAnsi="Arial"/>
          <w:sz w:val="22"/>
          <w:szCs w:val="22"/>
        </w:rPr>
        <w:t xml:space="preserve">V0011: Envelope verification failure on tampered content.</w:t>
      </w:r>
    </w:p>
    <w:p>
      <w:pPr>
        <w:pStyle w:val="ListParagraph"/>
        <w:numPr>
          <w:ilvl w:val="0"/>
          <w:numId w:val="2"/>
        </w:numPr>
        <w:spacing w:before="0" w:after="60"/>
      </w:pPr>
      <w:r>
        <w:rPr>
          <w:rFonts w:ascii="Arial" w:cs="Arial" w:eastAsia="Arial" w:hAnsi="Arial"/>
          <w:sz w:val="22"/>
          <w:szCs w:val="22"/>
        </w:rPr>
        <w:t xml:space="preserve">V0030: Block genesis verification.</w:t>
      </w:r>
    </w:p>
    <w:p>
      <w:pPr>
        <w:pStyle w:val="ListParagraph"/>
        <w:numPr>
          <w:ilvl w:val="0"/>
          <w:numId w:val="2"/>
        </w:numPr>
        <w:spacing w:before="0" w:after="60"/>
      </w:pPr>
      <w:r>
        <w:rPr>
          <w:rFonts w:ascii="Arial" w:cs="Arial" w:eastAsia="Arial" w:hAnsi="Arial"/>
          <w:sz w:val="22"/>
          <w:szCs w:val="22"/>
        </w:rPr>
        <w:t xml:space="preserve">V0031: Block chain break detection (prev_block_hash mismatch).</w:t>
      </w:r>
    </w:p>
    <w:p>
      <w:pPr>
        <w:pStyle w:val="ListParagraph"/>
        <w:numPr>
          <w:ilvl w:val="0"/>
          <w:numId w:val="2"/>
        </w:numPr>
        <w:spacing w:before="0" w:after="60"/>
      </w:pPr>
      <w:r>
        <w:rPr>
          <w:rFonts w:ascii="Arial" w:cs="Arial" w:eastAsia="Arial" w:hAnsi="Arial"/>
          <w:sz w:val="22"/>
          <w:szCs w:val="22"/>
        </w:rPr>
        <w:t xml:space="preserve">V0040: Finalization range_root computation.</w:t>
      </w:r>
    </w:p>
    <w:p>
      <w:pPr>
        <w:pStyle w:val="ListParagraph"/>
        <w:numPr>
          <w:ilvl w:val="0"/>
          <w:numId w:val="2"/>
        </w:numPr>
        <w:spacing w:before="0" w:after="60"/>
      </w:pPr>
      <w:r>
        <w:rPr>
          <w:rFonts w:ascii="Arial" w:cs="Arial" w:eastAsia="Arial" w:hAnsi="Arial"/>
          <w:sz w:val="22"/>
          <w:szCs w:val="22"/>
        </w:rPr>
        <w:t xml:space="preserve">V0100: Export manifest bundle_hash computation.</w:t>
      </w:r>
    </w:p>
    <w:p>
      <w:pPr>
        <w:pStyle w:val="ListParagraph"/>
        <w:numPr>
          <w:ilvl w:val="0"/>
          <w:numId w:val="2"/>
        </w:numPr>
        <w:spacing w:before="0" w:after="60"/>
      </w:pPr>
      <w:r>
        <w:rPr>
          <w:rFonts w:ascii="Arial" w:cs="Arial" w:eastAsia="Arial" w:hAnsi="Arial"/>
          <w:sz w:val="22"/>
          <w:szCs w:val="22"/>
        </w:rPr>
        <w:t xml:space="preserve">V0101: Export manifest bundle_hash mismatch detection.</w:t>
      </w:r>
    </w:p>
    <w:p>
      <w:pPr>
        <w:pStyle w:val="Heading2"/>
        <w:spacing w:before="240" w:after="80"/>
      </w:pPr>
      <w:r>
        <w:rPr>
          <w:rFonts w:ascii="Arial" w:cs="Arial" w:eastAsia="Arial" w:hAnsi="Arial"/>
          <w:b/>
          <w:bCs/>
          <w:color w:val="2E75B6"/>
          <w:sz w:val="26"/>
          <w:szCs w:val="26"/>
        </w:rPr>
        <w:t xml:space="preserve">8.3 Runner Contract</w:t>
      </w:r>
    </w:p>
    <w:p>
      <w:pPr>
        <w:spacing w:before="0" w:after="120"/>
      </w:pPr>
      <w:r>
        <w:rPr>
          <w:rFonts w:ascii="Arial" w:cs="Arial" w:eastAsia="Arial" w:hAnsi="Arial"/>
          <w:sz w:val="22"/>
          <w:szCs w:val="22"/>
        </w:rPr>
        <w:t xml:space="preserve">A conformant implementation MUST provide a command:</w:t>
      </w:r>
    </w:p>
    <w:p>
      <w:pPr>
        <w:spacing w:before="60" w:after="60"/>
        <w:ind w:left="720"/>
      </w:pPr>
      <w:r>
        <w:rPr>
          <w:rFonts w:ascii="Courier New" w:cs="Courier New" w:eastAsia="Courier New" w:hAnsi="Courier New"/>
          <w:color w:val="333333"/>
          <w:sz w:val="18"/>
          <w:szCs w:val="18"/>
        </w:rPr>
        <w:t xml:space="preserve">aevum conformance --packet &lt;path&gt; --profile &lt;id&gt; [--vector &lt;id&gt;] --format json</w:t>
      </w:r>
    </w:p>
    <w:p>
      <w:pPr>
        <w:spacing w:before="0" w:after="120"/>
      </w:pPr>
      <w:r>
        <w:rPr>
          <w:rFonts w:ascii="Arial" w:cs="Arial" w:eastAsia="Arial" w:hAnsi="Arial"/>
          <w:sz w:val="22"/>
          <w:szCs w:val="22"/>
        </w:rPr>
        <w:t xml:space="preserve">The runner outputs a conformance.run.v1 JSON object to stdout and exits with:</w:t>
      </w:r>
    </w:p>
    <w:p>
      <w:pPr>
        <w:pStyle w:val="ListParagraph"/>
        <w:numPr>
          <w:ilvl w:val="0"/>
          <w:numId w:val="2"/>
        </w:numPr>
        <w:spacing w:before="0" w:after="60"/>
      </w:pPr>
      <w:r>
        <w:rPr>
          <w:rFonts w:ascii="Arial" w:cs="Arial" w:eastAsia="Arial" w:hAnsi="Arial"/>
          <w:sz w:val="22"/>
          <w:szCs w:val="22"/>
        </w:rPr>
        <w:t xml:space="preserve">0: all required vectors passed.</w:t>
      </w:r>
    </w:p>
    <w:p>
      <w:pPr>
        <w:pStyle w:val="ListParagraph"/>
        <w:numPr>
          <w:ilvl w:val="0"/>
          <w:numId w:val="2"/>
        </w:numPr>
        <w:spacing w:before="0" w:after="60"/>
      </w:pPr>
      <w:r>
        <w:rPr>
          <w:rFonts w:ascii="Arial" w:cs="Arial" w:eastAsia="Arial" w:hAnsi="Arial"/>
          <w:sz w:val="22"/>
          <w:szCs w:val="22"/>
        </w:rPr>
        <w:t xml:space="preserve">1: one or more required vectors failed.</w:t>
      </w:r>
    </w:p>
    <w:p>
      <w:pPr>
        <w:pStyle w:val="ListParagraph"/>
        <w:numPr>
          <w:ilvl w:val="0"/>
          <w:numId w:val="2"/>
        </w:numPr>
        <w:spacing w:before="0" w:after="60"/>
      </w:pPr>
      <w:r>
        <w:rPr>
          <w:rFonts w:ascii="Arial" w:cs="Arial" w:eastAsia="Arial" w:hAnsi="Arial"/>
          <w:sz w:val="22"/>
          <w:szCs w:val="22"/>
        </w:rPr>
        <w:t xml:space="preserve">2: runner error (malformed packet, unknown profile, etc.).</w:t>
      </w:r>
    </w:p>
    <w:p>
      <w:pPr>
        <w:pStyle w:val="Heading2"/>
        <w:spacing w:before="240" w:after="80"/>
      </w:pPr>
      <w:r>
        <w:rPr>
          <w:rFonts w:ascii="Arial" w:cs="Arial" w:eastAsia="Arial" w:hAnsi="Arial"/>
          <w:b/>
          <w:bCs/>
          <w:color w:val="2E75B6"/>
          <w:sz w:val="26"/>
          <w:szCs w:val="26"/>
        </w:rPr>
        <w:t xml:space="preserve">8.4 Change Control</w:t>
      </w:r>
    </w:p>
    <w:p>
      <w:pPr>
        <w:spacing w:before="0" w:after="120"/>
      </w:pPr>
      <w:r>
        <w:rPr>
          <w:rFonts w:ascii="Arial" w:cs="Arial" w:eastAsia="Arial" w:hAnsi="Arial"/>
          <w:sz w:val="22"/>
          <w:szCs w:val="22"/>
        </w:rPr>
        <w:t xml:space="preserve">Spec defects MUST be fixed by publishing a new ATS packet with a new version identifier and adding conformance vectors that detect the defect. The old packet remains valid for implementations that target it. A new vector that a previous implementation would fail is evidence of a real behavioral difference between versions, not merely a documentation clarification.</w:t>
      </w:r>
    </w:p>
    <w:p>
      <w:r>
        <w:t xml:space="preserve"/>
      </w:r>
    </w:p>
    <w:p>
      <w:pPr>
        <w:pStyle w:val="Heading1"/>
        <w:spacing w:before="360" w:after="120"/>
      </w:pPr>
      <w:r>
        <w:rPr>
          <w:rFonts w:ascii="Arial" w:cs="Arial" w:eastAsia="Arial" w:hAnsi="Arial"/>
          <w:b/>
          <w:bCs/>
          <w:color w:val="1F4E79"/>
          <w:sz w:val="32"/>
          <w:szCs w:val="32"/>
        </w:rPr>
        <w:t xml:space="preserve">9. Broader Architecture: From Machine Receipts to Human Sovereignty</w:t>
      </w:r>
    </w:p>
    <w:p>
      <w:pPr>
        <w:spacing w:before="0" w:after="120"/>
      </w:pPr>
      <w:r>
        <w:rPr>
          <w:rFonts w:ascii="Arial" w:cs="Arial" w:eastAsia="Arial" w:hAnsi="Arial"/>
          <w:sz w:val="22"/>
          <w:szCs w:val="22"/>
        </w:rPr>
        <w:t xml:space="preserve">ATS-v0.1 specifies the machine layer. This section situates that layer within the broader Aevum architecture and explains why the design choices in ATS-v0.1 were made with the human layer in mind from the beginning.</w:t>
      </w:r>
    </w:p>
    <w:p>
      <w:pPr>
        <w:pStyle w:val="Heading2"/>
        <w:spacing w:before="240" w:after="80"/>
      </w:pPr>
      <w:r>
        <w:rPr>
          <w:rFonts w:ascii="Arial" w:cs="Arial" w:eastAsia="Arial" w:hAnsi="Arial"/>
          <w:b/>
          <w:bCs/>
          <w:color w:val="2E75B6"/>
          <w:sz w:val="26"/>
          <w:szCs w:val="26"/>
        </w:rPr>
        <w:t xml:space="preserve">9.1 The Five-Chain Model</w:t>
      </w:r>
    </w:p>
    <w:p>
      <w:pPr>
        <w:spacing w:before="0" w:after="120"/>
      </w:pPr>
      <w:r>
        <w:rPr>
          <w:rFonts w:ascii="Arial" w:cs="Arial" w:eastAsia="Arial" w:hAnsi="Arial"/>
          <w:sz w:val="22"/>
          <w:szCs w:val="22"/>
        </w:rPr>
        <w:t xml:space="preserve">The full Aevum architecture envisions five coordinated attestation chains for a single human subject:</w:t>
      </w:r>
    </w:p>
    <w:p>
      <w:pPr>
        <w:pStyle w:val="ListParagraph"/>
        <w:numPr>
          <w:ilvl w:val="0"/>
          <w:numId w:val="2"/>
        </w:numPr>
        <w:spacing w:before="0" w:after="60"/>
      </w:pPr>
      <w:r>
        <w:rPr>
          <w:rFonts w:ascii="Arial" w:cs="Arial" w:eastAsia="Arial" w:hAnsi="Arial"/>
          <w:sz w:val="22"/>
          <w:szCs w:val="22"/>
        </w:rPr>
        <w:t xml:space="preserve">Time Chain: a strictly monotonic sequence of discrete temporal blocks (one-second granularity in the current implementation) forming an unbroken backbone of 'when'. The TimeChain in ATS-v0.1 is the machine-side implementation of this chain.</w:t>
      </w:r>
    </w:p>
    <w:p>
      <w:pPr>
        <w:pStyle w:val="ListParagraph"/>
        <w:numPr>
          <w:ilvl w:val="0"/>
          <w:numId w:val="2"/>
        </w:numPr>
        <w:spacing w:before="0" w:after="60"/>
      </w:pPr>
      <w:r>
        <w:rPr>
          <w:rFonts w:ascii="Arial" w:cs="Arial" w:eastAsia="Arial" w:hAnsi="Arial"/>
          <w:sz w:val="22"/>
          <w:szCs w:val="22"/>
        </w:rPr>
        <w:t xml:space="preserve">Perception Chain: the individual's sensory and subjective input stream. What they saw, heard, felt, believed, and reported at each moment. This chain requires sensors and self-report mechanisms that are not yet implemented.</w:t>
      </w:r>
    </w:p>
    <w:p>
      <w:pPr>
        <w:pStyle w:val="ListParagraph"/>
        <w:numPr>
          <w:ilvl w:val="0"/>
          <w:numId w:val="2"/>
        </w:numPr>
        <w:spacing w:before="0" w:after="60"/>
      </w:pPr>
      <w:r>
        <w:rPr>
          <w:rFonts w:ascii="Arial" w:cs="Arial" w:eastAsia="Arial" w:hAnsi="Arial"/>
          <w:sz w:val="22"/>
          <w:szCs w:val="22"/>
        </w:rPr>
        <w:t xml:space="preserve">Reality Chain: externally verifiable states. Environmental data, events, and interactions attested by sensors or independent records. This chain provides the ground truth against which the Perception Chain can be compared.</w:t>
      </w:r>
    </w:p>
    <w:p>
      <w:pPr>
        <w:pStyle w:val="ListParagraph"/>
        <w:numPr>
          <w:ilvl w:val="0"/>
          <w:numId w:val="2"/>
        </w:numPr>
        <w:spacing w:before="0" w:after="60"/>
      </w:pPr>
      <w:r>
        <w:rPr>
          <w:rFonts w:ascii="Arial" w:cs="Arial" w:eastAsia="Arial" w:hAnsi="Arial"/>
          <w:sz w:val="22"/>
          <w:szCs w:val="22"/>
        </w:rPr>
        <w:t xml:space="preserve">Interaction Chain: the person's actions. Motor behavior, communications, choices, system interactions. Operator action receipts (ws.operator_action.v1) in ATS-v0.1 are the beginning of this chain.</w:t>
      </w:r>
    </w:p>
    <w:p>
      <w:pPr>
        <w:pStyle w:val="ListParagraph"/>
        <w:numPr>
          <w:ilvl w:val="0"/>
          <w:numId w:val="2"/>
        </w:numPr>
        <w:spacing w:before="0" w:after="60"/>
      </w:pPr>
      <w:r>
        <w:rPr>
          <w:rFonts w:ascii="Arial" w:cs="Arial" w:eastAsia="Arial" w:hAnsi="Arial"/>
          <w:sz w:val="22"/>
          <w:szCs w:val="22"/>
        </w:rPr>
        <w:t xml:space="preserve">Physiology Chain: biophysical markers validating emotional, cognitive, and embodied states. This chain requires physiological sensors and is planned for later implementation phases.</w:t>
      </w:r>
    </w:p>
    <w:p>
      <w:pPr>
        <w:spacing w:before="0" w:after="120"/>
      </w:pPr>
      <w:r>
        <w:rPr>
          <w:rFonts w:ascii="Arial" w:cs="Arial" w:eastAsia="Arial" w:hAnsi="Arial"/>
          <w:sz w:val="22"/>
          <w:szCs w:val="22"/>
        </w:rPr>
        <w:t xml:space="preserve">The five-chain model produces a state vector H(t) = (tau, P(t), R(t), I(t), Phi(t)) at each time step. The discrepancy P(t) - R(t) — what the person perceived versus what was objectively present — is measurable and recordable. This discrepancy is the technical substrate for detecting and documenting gaslighting, hallucination, perceptual distortion, and institutional narrative injection.</w:t>
      </w:r>
    </w:p>
    <w:p>
      <w:pPr>
        <w:pStyle w:val="Heading2"/>
        <w:spacing w:before="240" w:after="80"/>
      </w:pPr>
      <w:r>
        <w:rPr>
          <w:rFonts w:ascii="Arial" w:cs="Arial" w:eastAsia="Arial" w:hAnsi="Arial"/>
          <w:b/>
          <w:bCs/>
          <w:color w:val="2E75B6"/>
          <w:sz w:val="26"/>
          <w:szCs w:val="26"/>
        </w:rPr>
        <w:t xml:space="preserve">9.2 Identity Provenance vs. Object Provenance</w:t>
      </w:r>
    </w:p>
    <w:p>
      <w:pPr>
        <w:spacing w:before="0" w:after="120"/>
      </w:pPr>
      <w:r>
        <w:rPr>
          <w:rFonts w:ascii="Arial" w:cs="Arial" w:eastAsia="Arial" w:hAnsi="Arial"/>
          <w:sz w:val="22"/>
          <w:szCs w:val="22"/>
        </w:rPr>
        <w:t xml:space="preserve">Classical provenance systems track objects: where did this artifact come from, who touched it, how did it move? Aevum introduces a fundamentally different concept: identity provenance. Identity provenance answers: what was my perception at time t? What physiological state validates that perception? What was the corresponding external reality? What were my actions?</w:t>
      </w:r>
    </w:p>
    <w:p>
      <w:pPr>
        <w:spacing w:before="0" w:after="120"/>
      </w:pPr>
      <w:r>
        <w:rPr>
          <w:rFonts w:ascii="Arial" w:cs="Arial" w:eastAsia="Arial" w:hAnsi="Arial"/>
          <w:sz w:val="22"/>
          <w:szCs w:val="22"/>
        </w:rPr>
        <w:t xml:space="preserve">The distinction matters because the failure mode being addressed is different. Object provenance addresses chain of custody. Identity provenance addresses the contestability of lived experience. A person who is told 'that didn't happen' or 'you misremember' or 'you consented to that' needs not a chain of custody record but an attested record of their own perceptual and behavioral state.</w:t>
      </w:r>
    </w:p>
    <w:p>
      <w:pPr>
        <w:spacing w:before="0" w:after="120"/>
      </w:pPr>
      <w:r>
        <w:rPr>
          <w:rFonts w:ascii="Arial" w:cs="Arial" w:eastAsia="Arial" w:hAnsi="Arial"/>
          <w:b/>
          <w:bCs/>
          <w:sz w:val="22"/>
          <w:szCs w:val="22"/>
        </w:rPr>
        <w:t xml:space="preserve">Object provenance: </w:t>
      </w:r>
      <w:r>
        <w:rPr>
          <w:rFonts w:ascii="Arial" w:cs="Arial" w:eastAsia="Arial" w:hAnsi="Arial"/>
          <w:i/>
          <w:iCs/>
          <w:sz w:val="22"/>
          <w:szCs w:val="22"/>
        </w:rPr>
        <w:t xml:space="preserve">existence of things. </w:t>
      </w:r>
      <w:r>
        <w:rPr>
          <w:rFonts w:ascii="Arial" w:cs="Arial" w:eastAsia="Arial" w:hAnsi="Arial"/>
          <w:b/>
          <w:bCs/>
          <w:sz w:val="22"/>
          <w:szCs w:val="22"/>
        </w:rPr>
        <w:t xml:space="preserve">Identity provenance: </w:t>
      </w:r>
      <w:r>
        <w:rPr>
          <w:rFonts w:ascii="Arial" w:cs="Arial" w:eastAsia="Arial" w:hAnsi="Arial"/>
          <w:i/>
          <w:iCs/>
          <w:sz w:val="22"/>
          <w:szCs w:val="22"/>
        </w:rPr>
        <w:t xml:space="preserve">existence of self.</w:t>
      </w:r>
    </w:p>
    <w:p>
      <w:pPr>
        <w:spacing w:before="0" w:after="120"/>
      </w:pPr>
      <w:r>
        <w:rPr>
          <w:rFonts w:ascii="Arial" w:cs="Arial" w:eastAsia="Arial" w:hAnsi="Arial"/>
          <w:sz w:val="22"/>
          <w:szCs w:val="22"/>
        </w:rPr>
        <w:t xml:space="preserve">Aevum merges the two by treating identity as an attested object with continuous lineage. The machine receipts in ATS-v0.1 are the substrate. The five-chain model is the extension to the full perceptual and behavioral record.</w:t>
      </w:r>
    </w:p>
    <w:p>
      <w:pPr>
        <w:pStyle w:val="Heading2"/>
        <w:spacing w:before="240" w:after="80"/>
      </w:pPr>
      <w:r>
        <w:rPr>
          <w:rFonts w:ascii="Arial" w:cs="Arial" w:eastAsia="Arial" w:hAnsi="Arial"/>
          <w:b/>
          <w:bCs/>
          <w:color w:val="2E75B6"/>
          <w:sz w:val="26"/>
          <w:szCs w:val="26"/>
        </w:rPr>
        <w:t xml:space="preserve">9.3 The Seam: Behavioral Protocol at the Boundary</w:t>
      </w:r>
    </w:p>
    <w:p>
      <w:pPr>
        <w:spacing w:before="0" w:after="120"/>
      </w:pPr>
      <w:r>
        <w:rPr>
          <w:rFonts w:ascii="Arial" w:cs="Arial" w:eastAsia="Arial" w:hAnsi="Arial"/>
          <w:sz w:val="22"/>
          <w:szCs w:val="22"/>
        </w:rPr>
        <w:t xml:space="preserve">The Seam is the behavioral and technical protocol governing interactions at the boundary between a human and any system — digital or social. The Seam defines six core invariants:</w:t>
      </w:r>
    </w:p>
    <w:p>
      <w:pPr>
        <w:pStyle w:val="ListParagraph"/>
        <w:numPr>
          <w:ilvl w:val="0"/>
          <w:numId w:val="2"/>
        </w:numPr>
        <w:spacing w:before="0" w:after="60"/>
      </w:pPr>
      <w:r>
        <w:rPr>
          <w:rFonts w:ascii="Arial" w:cs="Arial" w:eastAsia="Arial" w:hAnsi="Arial"/>
          <w:sz w:val="22"/>
          <w:szCs w:val="22"/>
        </w:rPr>
        <w:t xml:space="preserve">Permission, not extraction: refusal must be possible without penalty. Costs must be visible before irreversible steps.</w:t>
      </w:r>
    </w:p>
    <w:p>
      <w:pPr>
        <w:pStyle w:val="ListParagraph"/>
        <w:numPr>
          <w:ilvl w:val="0"/>
          <w:numId w:val="2"/>
        </w:numPr>
        <w:spacing w:before="0" w:after="60"/>
      </w:pPr>
      <w:r>
        <w:rPr>
          <w:rFonts w:ascii="Arial" w:cs="Arial" w:eastAsia="Arial" w:hAnsi="Arial"/>
          <w:sz w:val="22"/>
          <w:szCs w:val="22"/>
        </w:rPr>
        <w:t xml:space="preserve">Termination supremacy: any loop that cannot end becomes coercive by structure. Exit must be immediate and consequence-free.</w:t>
      </w:r>
    </w:p>
    <w:p>
      <w:pPr>
        <w:pStyle w:val="ListParagraph"/>
        <w:numPr>
          <w:ilvl w:val="0"/>
          <w:numId w:val="2"/>
        </w:numPr>
        <w:spacing w:before="0" w:after="60"/>
      </w:pPr>
      <w:r>
        <w:rPr>
          <w:rFonts w:ascii="Arial" w:cs="Arial" w:eastAsia="Arial" w:hAnsi="Arial"/>
          <w:sz w:val="22"/>
          <w:szCs w:val="22"/>
        </w:rPr>
        <w:t xml:space="preserve">Outside-in order: effect exists, then observation is offered, then accounting is offered, then receipt is optional, then return to idle.</w:t>
      </w:r>
    </w:p>
    <w:p>
      <w:pPr>
        <w:pStyle w:val="ListParagraph"/>
        <w:numPr>
          <w:ilvl w:val="0"/>
          <w:numId w:val="2"/>
        </w:numPr>
        <w:spacing w:before="0" w:after="60"/>
      </w:pPr>
      <w:r>
        <w:rPr>
          <w:rFonts w:ascii="Arial" w:cs="Arial" w:eastAsia="Arial" w:hAnsi="Arial"/>
          <w:sz w:val="22"/>
          <w:szCs w:val="22"/>
        </w:rPr>
        <w:t xml:space="preserve">Receipts are optional; absence is neutral: missing receipts must never increase friction, suspicion, or escalation.</w:t>
      </w:r>
    </w:p>
    <w:p>
      <w:pPr>
        <w:pStyle w:val="ListParagraph"/>
        <w:numPr>
          <w:ilvl w:val="0"/>
          <w:numId w:val="2"/>
        </w:numPr>
        <w:spacing w:before="0" w:after="60"/>
      </w:pPr>
      <w:r>
        <w:rPr>
          <w:rFonts w:ascii="Arial" w:cs="Arial" w:eastAsia="Arial" w:hAnsi="Arial"/>
          <w:sz w:val="22"/>
          <w:szCs w:val="22"/>
        </w:rPr>
        <w:t xml:space="preserve">Narrative is optional and non-governing: structure, options, and receipts replace forced explanation.</w:t>
      </w:r>
    </w:p>
    <w:p>
      <w:pPr>
        <w:pStyle w:val="ListParagraph"/>
        <w:numPr>
          <w:ilvl w:val="0"/>
          <w:numId w:val="2"/>
        </w:numPr>
        <w:spacing w:before="0" w:after="60"/>
      </w:pPr>
      <w:r>
        <w:rPr>
          <w:rFonts w:ascii="Arial" w:cs="Arial" w:eastAsia="Arial" w:hAnsi="Arial"/>
          <w:sz w:val="22"/>
          <w:szCs w:val="22"/>
        </w:rPr>
        <w:t xml:space="preserve">Decision blindness: the component that decides must not have access to history. Past records must not become present obligations.</w:t>
      </w:r>
    </w:p>
    <w:p>
      <w:pPr>
        <w:spacing w:before="0" w:after="120"/>
      </w:pPr>
      <w:r>
        <w:rPr>
          <w:rFonts w:ascii="Arial" w:cs="Arial" w:eastAsia="Arial" w:hAnsi="Arial"/>
          <w:sz w:val="22"/>
          <w:szCs w:val="22"/>
        </w:rPr>
        <w:t xml:space="preserve">The Seam's receipts — the thin-fact records of boundary decisions — are implemented on top of the Aevum printer. A Seam-compliant interaction that produces a receipt produces a PublicReceipt object that, in a fully implemented system, is minted through the RRP and committed to the ledger. The receipt is then: verifiable, tamper-evident, operator-controlled, and not dependent on any external service for its integrity.</w:t>
      </w:r>
    </w:p>
    <w:p>
      <w:pPr>
        <w:spacing w:before="0" w:after="120"/>
      </w:pPr>
      <w:r>
        <w:rPr>
          <w:rFonts w:ascii="Arial" w:cs="Arial" w:eastAsia="Arial" w:hAnsi="Arial"/>
          <w:sz w:val="22"/>
          <w:szCs w:val="22"/>
        </w:rPr>
        <w:t xml:space="preserve">This is the bridge between the machine layer (ATS-v0.1) and the human layer (The Seam): the protocol defines what a receipt means; the printer makes the receipt unfalsifiable.</w:t>
      </w:r>
    </w:p>
    <w:p>
      <w:pPr>
        <w:pStyle w:val="Heading2"/>
        <w:spacing w:before="240" w:after="80"/>
      </w:pPr>
      <w:r>
        <w:rPr>
          <w:rFonts w:ascii="Arial" w:cs="Arial" w:eastAsia="Arial" w:hAnsi="Arial"/>
          <w:b/>
          <w:bCs/>
          <w:color w:val="2E75B6"/>
          <w:sz w:val="26"/>
          <w:szCs w:val="26"/>
        </w:rPr>
        <w:t xml:space="preserve">9.4 Epistemic Physics</w:t>
      </w:r>
    </w:p>
    <w:p>
      <w:pPr>
        <w:spacing w:before="0" w:after="120"/>
      </w:pPr>
      <w:r>
        <w:rPr>
          <w:rFonts w:ascii="Arial" w:cs="Arial" w:eastAsia="Arial" w:hAnsi="Arial"/>
          <w:sz w:val="22"/>
          <w:szCs w:val="22"/>
        </w:rPr>
        <w:t xml:space="preserve">The Aevum epistemic physics framework formalizes how truth behaves inside the system as if it were a physical quantity in a constrained system. Three axioms govern this physics:</w:t>
      </w:r>
    </w:p>
    <w:p>
      <w:pPr>
        <w:pStyle w:val="ListParagraph"/>
        <w:numPr>
          <w:ilvl w:val="0"/>
          <w:numId w:val="2"/>
        </w:numPr>
        <w:spacing w:before="0" w:after="60"/>
      </w:pPr>
      <w:r>
        <w:rPr>
          <w:rFonts w:ascii="Arial" w:cs="Arial" w:eastAsia="Arial" w:hAnsi="Arial"/>
          <w:sz w:val="22"/>
          <w:szCs w:val="22"/>
        </w:rPr>
        <w:t xml:space="preserve">Locality of Attestation: only quantities directly coupled to the subject's sensing or internal computation can be attested as primary data. Everything else is derived.</w:t>
      </w:r>
    </w:p>
    <w:p>
      <w:pPr>
        <w:pStyle w:val="ListParagraph"/>
        <w:numPr>
          <w:ilvl w:val="0"/>
          <w:numId w:val="2"/>
        </w:numPr>
        <w:spacing w:before="0" w:after="60"/>
      </w:pPr>
      <w:r>
        <w:rPr>
          <w:rFonts w:ascii="Arial" w:cs="Arial" w:eastAsia="Arial" w:hAnsi="Arial"/>
          <w:sz w:val="22"/>
          <w:szCs w:val="22"/>
        </w:rPr>
        <w:t xml:space="preserve">Conservation of Provenance: once an attestation is committed to the ledger, its provenance cannot be altered without detectable breakage.</w:t>
      </w:r>
    </w:p>
    <w:p>
      <w:pPr>
        <w:pStyle w:val="ListParagraph"/>
        <w:numPr>
          <w:ilvl w:val="0"/>
          <w:numId w:val="2"/>
        </w:numPr>
        <w:spacing w:before="0" w:after="60"/>
      </w:pPr>
      <w:r>
        <w:rPr>
          <w:rFonts w:ascii="Arial" w:cs="Arial" w:eastAsia="Arial" w:hAnsi="Arial"/>
          <w:sz w:val="22"/>
          <w:szCs w:val="22"/>
        </w:rPr>
        <w:t xml:space="preserve">Causal Ordering: attestations can only reference prior ledger entries, not future ones. The time chain enforces this.</w:t>
      </w:r>
    </w:p>
    <w:p>
      <w:pPr>
        <w:spacing w:before="0" w:after="120"/>
      </w:pPr>
      <w:r>
        <w:rPr>
          <w:rFonts w:ascii="Arial" w:cs="Arial" w:eastAsia="Arial" w:hAnsi="Arial"/>
          <w:sz w:val="22"/>
          <w:szCs w:val="22"/>
        </w:rPr>
        <w:t xml:space="preserve">From these axioms, the system derives a metric space of epistemic health: a seven-dimensional health vector H(t) encoding intra-chain integrity, cross-chain consistency, temporal stability, predictive adequacy, model robustness, plasticity, and noise management. This metric space allows formal detection of epistemic shocks, drift, rigidity, and volatility — without external judgment, using only attested data.</w:t>
      </w:r>
    </w:p>
    <w:p>
      <w:pPr>
        <w:spacing w:before="0" w:after="120"/>
      </w:pPr>
      <w:r>
        <w:rPr>
          <w:rFonts w:ascii="Arial" w:cs="Arial" w:eastAsia="Arial" w:hAnsi="Arial"/>
          <w:sz w:val="22"/>
          <w:szCs w:val="22"/>
        </w:rPr>
        <w:t xml:space="preserve">The practical implication is significant: a system with Aevum running cannot be gaslit without leaving structural evidence in the ledger. Narrative injection — the replacement of the subject's attested perception with an externally imposed interpretation — produces residuals in the metric space that are detectable and provable.</w:t>
      </w:r>
    </w:p>
    <w:p>
      <w:pPr>
        <w:pStyle w:val="Heading2"/>
        <w:spacing w:before="240" w:after="80"/>
      </w:pPr>
      <w:r>
        <w:rPr>
          <w:rFonts w:ascii="Arial" w:cs="Arial" w:eastAsia="Arial" w:hAnsi="Arial"/>
          <w:b/>
          <w:bCs/>
          <w:color w:val="2E75B6"/>
          <w:sz w:val="26"/>
          <w:szCs w:val="26"/>
        </w:rPr>
        <w:t xml:space="preserve">9.5 The Dissolution of Asymmetry</w:t>
      </w:r>
    </w:p>
    <w:p>
      <w:pPr>
        <w:spacing w:before="0" w:after="120"/>
      </w:pPr>
      <w:r>
        <w:rPr>
          <w:rFonts w:ascii="Arial" w:cs="Arial" w:eastAsia="Arial" w:hAnsi="Arial"/>
          <w:sz w:val="22"/>
          <w:szCs w:val="22"/>
        </w:rPr>
        <w:t xml:space="preserve">Authoritarian control — whether institutional, governmental, interpersonal, or algorithmic — relies on three structural mechanisms: epistemic asymmetry (the controller knows more than the controlled), narrative unilateralism (the controller's interpretation displaces the subject's), and perceptual substitution (the controller's narrative replaces the subject's lived experience).</w:t>
      </w:r>
    </w:p>
    <w:p>
      <w:pPr>
        <w:spacing w:before="0" w:after="120"/>
      </w:pPr>
      <w:r>
        <w:rPr>
          <w:rFonts w:ascii="Arial" w:cs="Arial" w:eastAsia="Arial" w:hAnsi="Arial"/>
          <w:sz w:val="22"/>
          <w:szCs w:val="22"/>
        </w:rPr>
        <w:t xml:space="preserve">Each of these mechanisms requires a subject who cannot verify their own perception, cannot separate perception from interpretation, cannot prove what they experienced, and cannot detect tampering in their own record.</w:t>
      </w:r>
    </w:p>
    <w:p>
      <w:pPr>
        <w:spacing w:before="0" w:after="120"/>
      </w:pPr>
      <w:r>
        <w:rPr>
          <w:rFonts w:ascii="Arial" w:cs="Arial" w:eastAsia="Arial" w:hAnsi="Arial"/>
          <w:sz w:val="22"/>
          <w:szCs w:val="22"/>
        </w:rPr>
        <w:t xml:space="preserve">Aevum eliminates each precondition structurally. Not through resistance — resistance implies a battle that could be lost. Through architectural change: the informational conditions that authoritarian control requires cannot exist inside a system where the subject has sovereign provenance over their perception, memory, action, and truth-state.</w:t>
      </w:r>
    </w:p>
    <w:p>
      <w:pPr>
        <w:spacing w:before="0" w:after="120"/>
      </w:pPr>
      <w:r>
        <w:rPr>
          <w:rFonts w:ascii="Arial" w:cs="Arial" w:eastAsia="Arial" w:hAnsi="Arial"/>
          <w:sz w:val="22"/>
          <w:szCs w:val="22"/>
        </w:rPr>
        <w:t xml:space="preserve">ATS-v0.1 is the foundation of that architecture. The machine layer is the substrate. The human layer and the bridge between them are the edifice. The foundation must be correct, verifiable, and tamper-evident before anything above it can be trusted. That is what ATS-v0.1 provides.</w:t>
      </w:r>
    </w:p>
    <w:p>
      <w:r>
        <w:t xml:space="preserve"/>
      </w:r>
    </w:p>
    <w:p>
      <w:pPr>
        <w:pStyle w:val="Heading1"/>
        <w:spacing w:before="360" w:after="120"/>
      </w:pPr>
      <w:r>
        <w:rPr>
          <w:rFonts w:ascii="Arial" w:cs="Arial" w:eastAsia="Arial" w:hAnsi="Arial"/>
          <w:b/>
          <w:bCs/>
          <w:color w:val="1F4E79"/>
          <w:sz w:val="32"/>
          <w:szCs w:val="32"/>
        </w:rPr>
        <w:t xml:space="preserve">10. Limitations and Roadmap</w:t>
      </w:r>
    </w:p>
    <w:p>
      <w:pPr>
        <w:pStyle w:val="Heading2"/>
        <w:spacing w:before="240" w:after="80"/>
      </w:pPr>
      <w:r>
        <w:rPr>
          <w:rFonts w:ascii="Arial" w:cs="Arial" w:eastAsia="Arial" w:hAnsi="Arial"/>
          <w:b/>
          <w:bCs/>
          <w:color w:val="2E75B6"/>
          <w:sz w:val="26"/>
          <w:szCs w:val="26"/>
        </w:rPr>
        <w:t xml:space="preserve">10.1 Current Limitations</w:t>
      </w:r>
    </w:p>
    <w:p>
      <w:pPr>
        <w:pStyle w:val="ListParagraph"/>
        <w:numPr>
          <w:ilvl w:val="0"/>
          <w:numId w:val="2"/>
        </w:numPr>
        <w:spacing w:before="0" w:after="60"/>
      </w:pPr>
      <w:r>
        <w:rPr>
          <w:rFonts w:ascii="Arial" w:cs="Arial" w:eastAsia="Arial" w:hAnsi="Arial"/>
          <w:sz w:val="22"/>
          <w:szCs w:val="22"/>
        </w:rPr>
        <w:t xml:space="preserve">TPM anchoring is optional in ATS-v0.1. A ledger without TPM-anchored finalizations provides software-level tamper evidence but not hardware-rooted attestation.</w:t>
      </w:r>
    </w:p>
    <w:p>
      <w:pPr>
        <w:pStyle w:val="ListParagraph"/>
        <w:numPr>
          <w:ilvl w:val="0"/>
          <w:numId w:val="2"/>
        </w:numPr>
        <w:spacing w:before="0" w:after="60"/>
      </w:pPr>
      <w:r>
        <w:rPr>
          <w:rFonts w:ascii="Arial" w:cs="Arial" w:eastAsia="Arial" w:hAnsi="Arial"/>
          <w:sz w:val="22"/>
          <w:szCs w:val="22"/>
        </w:rPr>
        <w:t xml:space="preserve">The user and bridge streams are defined in the schema but do not yet have protocol specifications for access control, disclosure, and consent management.</w:t>
      </w:r>
    </w:p>
    <w:p>
      <w:pPr>
        <w:pStyle w:val="ListParagraph"/>
        <w:numPr>
          <w:ilvl w:val="0"/>
          <w:numId w:val="2"/>
        </w:numPr>
        <w:spacing w:before="0" w:after="60"/>
      </w:pPr>
      <w:r>
        <w:rPr>
          <w:rFonts w:ascii="Arial" w:cs="Arial" w:eastAsia="Arial" w:hAnsi="Arial"/>
          <w:sz w:val="22"/>
          <w:szCs w:val="22"/>
        </w:rPr>
        <w:t xml:space="preserve">The five-chain model (Perception, Reality, Interaction, Physiology, Time) is architecturally intended but only the Time and Interaction chains have v0.1 implementations.</w:t>
      </w:r>
    </w:p>
    <w:p>
      <w:pPr>
        <w:pStyle w:val="ListParagraph"/>
        <w:numPr>
          <w:ilvl w:val="0"/>
          <w:numId w:val="2"/>
        </w:numPr>
        <w:spacing w:before="0" w:after="60"/>
      </w:pPr>
      <w:r>
        <w:rPr>
          <w:rFonts w:ascii="Arial" w:cs="Arial" w:eastAsia="Arial" w:hAnsi="Arial"/>
          <w:sz w:val="22"/>
          <w:szCs w:val="22"/>
        </w:rPr>
        <w:t xml:space="preserve">Performance optimizations (batched writes, in-memory pending lists, async storage) are not specified. Implementations may optimize as long as the determinism and fail-closed invariants are preserved.</w:t>
      </w:r>
    </w:p>
    <w:p>
      <w:pPr>
        <w:pStyle w:val="ListParagraph"/>
        <w:numPr>
          <w:ilvl w:val="0"/>
          <w:numId w:val="2"/>
        </w:numPr>
        <w:spacing w:before="0" w:after="60"/>
      </w:pPr>
      <w:r>
        <w:rPr>
          <w:rFonts w:ascii="Arial" w:cs="Arial" w:eastAsia="Arial" w:hAnsi="Arial"/>
          <w:sz w:val="22"/>
          <w:szCs w:val="22"/>
        </w:rPr>
        <w:t xml:space="preserve">The conformance vector set is a starter set. It covers the core cryptographic operations and failure cases but does not yet cover the full range of edge cases (empty blocks, very large event sets, concurrent finalization, etc.).</w:t>
      </w:r>
    </w:p>
    <w:p>
      <w:pPr>
        <w:pStyle w:val="Heading2"/>
        <w:spacing w:before="240" w:after="80"/>
      </w:pPr>
      <w:r>
        <w:rPr>
          <w:rFonts w:ascii="Arial" w:cs="Arial" w:eastAsia="Arial" w:hAnsi="Arial"/>
          <w:b/>
          <w:bCs/>
          <w:color w:val="2E75B6"/>
          <w:sz w:val="26"/>
          <w:szCs w:val="26"/>
        </w:rPr>
        <w:t xml:space="preserve">10.2 Roadmap</w:t>
      </w:r>
    </w:p>
    <w:p>
      <w:pPr>
        <w:pStyle w:val="ListParagraph"/>
        <w:numPr>
          <w:ilvl w:val="0"/>
          <w:numId w:val="2"/>
        </w:numPr>
        <w:spacing w:before="0" w:after="60"/>
      </w:pPr>
      <w:r>
        <w:rPr>
          <w:rFonts w:ascii="Arial" w:cs="Arial" w:eastAsia="Arial" w:hAnsi="Arial"/>
          <w:sz w:val="22"/>
          <w:szCs w:val="22"/>
        </w:rPr>
        <w:t xml:space="preserve">ATS-v0.2: user stream protocol specification. Defines consent management, disclosure rules, and access control for the user stream. Adds RRP protocol conformance vectors.</w:t>
      </w:r>
    </w:p>
    <w:p>
      <w:pPr>
        <w:pStyle w:val="ListParagraph"/>
        <w:numPr>
          <w:ilvl w:val="0"/>
          <w:numId w:val="2"/>
        </w:numPr>
        <w:spacing w:before="0" w:after="60"/>
      </w:pPr>
      <w:r>
        <w:rPr>
          <w:rFonts w:ascii="Arial" w:cs="Arial" w:eastAsia="Arial" w:hAnsi="Arial"/>
          <w:sz w:val="22"/>
          <w:szCs w:val="22"/>
        </w:rPr>
        <w:t xml:space="preserve">ATS-v0.3: bridge stream protocol. Defines the correlation protocol between computer and user streams. Adds bridge event schemas and privacy invariants.</w:t>
      </w:r>
    </w:p>
    <w:p>
      <w:pPr>
        <w:pStyle w:val="ListParagraph"/>
        <w:numPr>
          <w:ilvl w:val="0"/>
          <w:numId w:val="2"/>
        </w:numPr>
        <w:spacing w:before="0" w:after="60"/>
      </w:pPr>
      <w:r>
        <w:rPr>
          <w:rFonts w:ascii="Arial" w:cs="Arial" w:eastAsia="Arial" w:hAnsi="Arial"/>
          <w:sz w:val="22"/>
          <w:szCs w:val="22"/>
        </w:rPr>
        <w:t xml:space="preserve">ATS-v0.4: expanded conformance suite. Full edge case coverage. Performance benchmarks. Independent implementation targets.</w:t>
      </w:r>
    </w:p>
    <w:p>
      <w:pPr>
        <w:pStyle w:val="ListParagraph"/>
        <w:numPr>
          <w:ilvl w:val="0"/>
          <w:numId w:val="2"/>
        </w:numPr>
        <w:spacing w:before="0" w:after="60"/>
      </w:pPr>
      <w:r>
        <w:rPr>
          <w:rFonts w:ascii="Arial" w:cs="Arial" w:eastAsia="Arial" w:hAnsi="Arial"/>
          <w:sz w:val="22"/>
          <w:szCs w:val="22"/>
        </w:rPr>
        <w:t xml:space="preserve">ATS-v1.0: Perception and Reality chain schemas. Initial sensor integration protocol. Five-chain H(t) state vector formally specified.</w:t>
      </w:r>
    </w:p>
    <w:p>
      <w:pPr>
        <w:pStyle w:val="ListParagraph"/>
        <w:numPr>
          <w:ilvl w:val="0"/>
          <w:numId w:val="2"/>
        </w:numPr>
        <w:spacing w:before="0" w:after="60"/>
      </w:pPr>
      <w:r>
        <w:rPr>
          <w:rFonts w:ascii="Arial" w:cs="Arial" w:eastAsia="Arial" w:hAnsi="Arial"/>
          <w:sz w:val="22"/>
          <w:szCs w:val="22"/>
        </w:rPr>
        <w:t xml:space="preserve">Post-v1.0: Epistemic health metric space implementation. GMAL integration. Seam protocol receipts via RRP.</w:t>
      </w:r>
    </w:p>
    <w:p>
      <w:r>
        <w:t xml:space="preserve"/>
      </w:r>
    </w:p>
    <w:p>
      <w:pPr>
        <w:pStyle w:val="Heading1"/>
        <w:spacing w:before="360" w:after="120"/>
      </w:pPr>
      <w:r>
        <w:rPr>
          <w:rFonts w:ascii="Arial" w:cs="Arial" w:eastAsia="Arial" w:hAnsi="Arial"/>
          <w:b/>
          <w:bCs/>
          <w:color w:val="1F4E79"/>
          <w:sz w:val="32"/>
          <w:szCs w:val="32"/>
        </w:rPr>
        <w:t xml:space="preserve">11. Related Work</w:t>
      </w:r>
    </w:p>
    <w:p>
      <w:pPr>
        <w:spacing w:before="0" w:after="120"/>
      </w:pPr>
      <w:r>
        <w:rPr>
          <w:rFonts w:ascii="Arial" w:cs="Arial" w:eastAsia="Arial" w:hAnsi="Arial"/>
          <w:sz w:val="22"/>
          <w:szCs w:val="22"/>
        </w:rPr>
        <w:t xml:space="preserve">Aevum draws on and differs from several bodies of prior work.</w:t>
      </w:r>
    </w:p>
    <w:p>
      <w:pPr>
        <w:pStyle w:val="Heading2"/>
        <w:spacing w:before="240" w:after="80"/>
      </w:pPr>
      <w:r>
        <w:rPr>
          <w:rFonts w:ascii="Arial" w:cs="Arial" w:eastAsia="Arial" w:hAnsi="Arial"/>
          <w:b/>
          <w:bCs/>
          <w:color w:val="2E75B6"/>
          <w:sz w:val="26"/>
          <w:szCs w:val="26"/>
        </w:rPr>
        <w:t xml:space="preserve">11.1 Certificate Transparency and Append-Only Logs</w:t>
      </w:r>
    </w:p>
    <w:p>
      <w:pPr>
        <w:spacing w:before="0" w:after="120"/>
      </w:pPr>
      <w:r>
        <w:rPr>
          <w:rFonts w:ascii="Arial" w:cs="Arial" w:eastAsia="Arial" w:hAnsi="Arial"/>
          <w:sz w:val="22"/>
          <w:szCs w:val="22"/>
        </w:rPr>
        <w:t xml:space="preserve">Certificate Transparency and related systems demonstrate that append-only, publicly verifiable logs can provide strong integrity guarantees for certificate issuance. Aevum adopts the same append-only, tamper-evident posture. The key difference is the subject: Certificate Transparency tracks certificates (objects); Aevum tracks events in a human's computational and lived experience (a subject). The trust model also differs: CT logs are operated by institutional parties and verified by distributed monitors; Aevum logs are operator-owned and verified locally without external dependencies.</w:t>
      </w:r>
    </w:p>
    <w:p>
      <w:pPr>
        <w:pStyle w:val="Heading2"/>
        <w:spacing w:before="240" w:after="80"/>
      </w:pPr>
      <w:r>
        <w:rPr>
          <w:rFonts w:ascii="Arial" w:cs="Arial" w:eastAsia="Arial" w:hAnsi="Arial"/>
          <w:b/>
          <w:bCs/>
          <w:color w:val="2E75B6"/>
          <w:sz w:val="26"/>
          <w:szCs w:val="26"/>
        </w:rPr>
        <w:t xml:space="preserve">11.2 Provenance Models</w:t>
      </w:r>
    </w:p>
    <w:p>
      <w:pPr>
        <w:spacing w:before="0" w:after="120"/>
      </w:pPr>
      <w:r>
        <w:rPr>
          <w:rFonts w:ascii="Arial" w:cs="Arial" w:eastAsia="Arial" w:hAnsi="Arial"/>
          <w:sz w:val="22"/>
          <w:szCs w:val="22"/>
        </w:rPr>
        <w:t xml:space="preserve">The W3C PROV framework and related provenance standards provide vocabulary for describing how artifacts were produced, transformed, and attributed. Aevum's envelope and receipt structures can be read as minimal provenance assertions. The key difference is the metadata constraint: PROV allows rich descriptive metadata, which Aevum deliberately constrains to prevent semantic leakage and coercive profiling.</w:t>
      </w:r>
    </w:p>
    <w:p>
      <w:pPr>
        <w:pStyle w:val="Heading2"/>
        <w:spacing w:before="240" w:after="80"/>
      </w:pPr>
      <w:r>
        <w:rPr>
          <w:rFonts w:ascii="Arial" w:cs="Arial" w:eastAsia="Arial" w:hAnsi="Arial"/>
          <w:b/>
          <w:bCs/>
          <w:color w:val="2E75B6"/>
          <w:sz w:val="26"/>
          <w:szCs w:val="26"/>
        </w:rPr>
        <w:t xml:space="preserve">11.3 Secure Logging Systems</w:t>
      </w:r>
    </w:p>
    <w:p>
      <w:pPr>
        <w:spacing w:before="0" w:after="120"/>
      </w:pPr>
      <w:r>
        <w:rPr>
          <w:rFonts w:ascii="Arial" w:cs="Arial" w:eastAsia="Arial" w:hAnsi="Arial"/>
          <w:sz w:val="22"/>
          <w:szCs w:val="22"/>
        </w:rPr>
        <w:t xml:space="preserve">Cryptographic logging systems (e.g., forward-secure log schemes, audit log integrity protocols) have been studied extensively in the security literature. Aevum is related to this work but differs in scope: it extends beyond machine event logging to include human action receipts and, ultimately, perceptual attestation. The five-chain model has no clear precedent in the security logging literature.</w:t>
      </w:r>
    </w:p>
    <w:p>
      <w:pPr>
        <w:pStyle w:val="Heading2"/>
        <w:spacing w:before="240" w:after="80"/>
      </w:pPr>
      <w:r>
        <w:rPr>
          <w:rFonts w:ascii="Arial" w:cs="Arial" w:eastAsia="Arial" w:hAnsi="Arial"/>
          <w:b/>
          <w:bCs/>
          <w:color w:val="2E75B6"/>
          <w:sz w:val="26"/>
          <w:szCs w:val="26"/>
        </w:rPr>
        <w:t xml:space="preserve">11.4 Metacognitive AI Systems</w:t>
      </w:r>
    </w:p>
    <w:p>
      <w:pPr>
        <w:spacing w:before="0" w:after="120"/>
      </w:pPr>
      <w:r>
        <w:rPr>
          <w:rFonts w:ascii="Arial" w:cs="Arial" w:eastAsia="Arial" w:hAnsi="Arial"/>
          <w:sz w:val="22"/>
          <w:szCs w:val="22"/>
        </w:rPr>
        <w:t xml:space="preserve">Research on metacognitive AI — systems that monitor and control their own cognitive processes — typically builds metacognition inside models for institutional benefit. Aevum inverts this: the metacognitive layer (GMAL) is built above all models, aligned to a single human's attested reality, and governed by invariants that prioritize individual sovereignty over institutional optimization. This is a fundamentally different locus of control.</w:t>
      </w:r>
    </w:p>
    <w:p>
      <w:pPr>
        <w:pStyle w:val="Heading2"/>
        <w:spacing w:before="240" w:after="80"/>
      </w:pPr>
      <w:r>
        <w:rPr>
          <w:rFonts w:ascii="Arial" w:cs="Arial" w:eastAsia="Arial" w:hAnsi="Arial"/>
          <w:b/>
          <w:bCs/>
          <w:color w:val="2E75B6"/>
          <w:sz w:val="26"/>
          <w:szCs w:val="26"/>
        </w:rPr>
        <w:t xml:space="preserve">11.5 Privacy-Preserving Systems</w:t>
      </w:r>
    </w:p>
    <w:p>
      <w:pPr>
        <w:spacing w:before="0" w:after="120"/>
      </w:pPr>
      <w:r>
        <w:rPr>
          <w:rFonts w:ascii="Arial" w:cs="Arial" w:eastAsia="Arial" w:hAnsi="Arial"/>
          <w:sz w:val="22"/>
          <w:szCs w:val="22"/>
        </w:rPr>
        <w:t xml:space="preserve">Differential privacy, federated learning, and related techniques address privacy at the statistical aggregation level. They reduce what can be inferred from a population of users. Aevum addresses privacy at the individual level: it gives a single person sovereign control over what their system records and what is disclosed. These are complementary, not competing, approaches.</w:t>
      </w:r>
    </w:p>
    <w:p>
      <w:r>
        <w:t xml:space="preserve"/>
      </w:r>
    </w:p>
    <w:p>
      <w:pPr>
        <w:pStyle w:val="Heading1"/>
        <w:spacing w:before="360" w:after="120"/>
      </w:pPr>
      <w:r>
        <w:rPr>
          <w:rFonts w:ascii="Arial" w:cs="Arial" w:eastAsia="Arial" w:hAnsi="Arial"/>
          <w:b/>
          <w:bCs/>
          <w:color w:val="1F4E79"/>
          <w:sz w:val="32"/>
          <w:szCs w:val="32"/>
        </w:rPr>
        <w:t xml:space="preserve">References</w:t>
      </w:r>
    </w:p>
    <w:p>
      <w:pPr>
        <w:pStyle w:val="ListParagraph"/>
        <w:numPr>
          <w:ilvl w:val="0"/>
          <w:numId w:val="2"/>
        </w:numPr>
        <w:spacing w:before="0" w:after="60"/>
      </w:pPr>
      <w:r>
        <w:rPr>
          <w:rFonts w:ascii="Arial" w:cs="Arial" w:eastAsia="Arial" w:hAnsi="Arial"/>
          <w:sz w:val="22"/>
          <w:szCs w:val="22"/>
        </w:rPr>
        <w:t xml:space="preserve">RFC 2119 — Key words for use in RFCs to Indicate Requirement Levels. Bradner, S. (1997).</w:t>
      </w:r>
    </w:p>
    <w:p>
      <w:pPr>
        <w:pStyle w:val="ListParagraph"/>
        <w:numPr>
          <w:ilvl w:val="0"/>
          <w:numId w:val="2"/>
        </w:numPr>
        <w:spacing w:before="0" w:after="60"/>
      </w:pPr>
      <w:r>
        <w:rPr>
          <w:rFonts w:ascii="Arial" w:cs="Arial" w:eastAsia="Arial" w:hAnsi="Arial"/>
          <w:sz w:val="22"/>
          <w:szCs w:val="22"/>
        </w:rPr>
        <w:t xml:space="preserve">RFC 8785 — JSON Canonicalization Scheme (JCS). Rundgren, A., Jordan, B., Erdtman, S. (2020).</w:t>
      </w:r>
    </w:p>
    <w:p>
      <w:pPr>
        <w:pStyle w:val="ListParagraph"/>
        <w:numPr>
          <w:ilvl w:val="0"/>
          <w:numId w:val="2"/>
        </w:numPr>
        <w:spacing w:before="0" w:after="60"/>
      </w:pPr>
      <w:r>
        <w:rPr>
          <w:rFonts w:ascii="Arial" w:cs="Arial" w:eastAsia="Arial" w:hAnsi="Arial"/>
          <w:sz w:val="22"/>
          <w:szCs w:val="22"/>
        </w:rPr>
        <w:t xml:space="preserve">RFC 8032 — Edwards-Curve Digital Signature Algorithm (EdDSA). Josefsson, S., Liusvaara, I. (2017).</w:t>
      </w:r>
    </w:p>
    <w:p>
      <w:pPr>
        <w:pStyle w:val="ListParagraph"/>
        <w:numPr>
          <w:ilvl w:val="0"/>
          <w:numId w:val="2"/>
        </w:numPr>
        <w:spacing w:before="0" w:after="60"/>
      </w:pPr>
      <w:r>
        <w:rPr>
          <w:rFonts w:ascii="Arial" w:cs="Arial" w:eastAsia="Arial" w:hAnsi="Arial"/>
          <w:sz w:val="22"/>
          <w:szCs w:val="22"/>
        </w:rPr>
        <w:t xml:space="preserve">FIPS 180-4 — Secure Hash Standard (SHS). NIST (2015).</w:t>
      </w:r>
    </w:p>
    <w:p>
      <w:pPr>
        <w:pStyle w:val="ListParagraph"/>
        <w:numPr>
          <w:ilvl w:val="0"/>
          <w:numId w:val="2"/>
        </w:numPr>
        <w:spacing w:before="0" w:after="60"/>
      </w:pPr>
      <w:r>
        <w:rPr>
          <w:rFonts w:ascii="Arial" w:cs="Arial" w:eastAsia="Arial" w:hAnsi="Arial"/>
          <w:sz w:val="22"/>
          <w:szCs w:val="22"/>
        </w:rPr>
        <w:t xml:space="preserve">JSON Schema 2020-12. Wright, A., Andrews, H., Hutton, B. (2020).</w:t>
      </w:r>
    </w:p>
    <w:p>
      <w:pPr>
        <w:pStyle w:val="ListParagraph"/>
        <w:numPr>
          <w:ilvl w:val="0"/>
          <w:numId w:val="2"/>
        </w:numPr>
        <w:spacing w:before="0" w:after="60"/>
      </w:pPr>
      <w:r>
        <w:rPr>
          <w:rFonts w:ascii="Arial" w:cs="Arial" w:eastAsia="Arial" w:hAnsi="Arial"/>
          <w:sz w:val="22"/>
          <w:szCs w:val="22"/>
        </w:rPr>
        <w:t xml:space="preserve">Certificate Transparency. Laurie, B., Langley, A., Kasper, E. RFC 6962 (2013).</w:t>
      </w:r>
    </w:p>
    <w:p>
      <w:pPr>
        <w:pStyle w:val="ListParagraph"/>
        <w:numPr>
          <w:ilvl w:val="0"/>
          <w:numId w:val="2"/>
        </w:numPr>
        <w:spacing w:before="0" w:after="60"/>
      </w:pPr>
      <w:r>
        <w:rPr>
          <w:rFonts w:ascii="Arial" w:cs="Arial" w:eastAsia="Arial" w:hAnsi="Arial"/>
          <w:sz w:val="22"/>
          <w:szCs w:val="22"/>
        </w:rPr>
        <w:t xml:space="preserve">W3C PROV-DM: The PROV Data Model. Moreau, L., Missier, P. (eds.) W3C Recommendation (2013).</w:t>
      </w:r>
    </w:p>
    <w:p>
      <w:pPr>
        <w:pStyle w:val="ListParagraph"/>
        <w:numPr>
          <w:ilvl w:val="0"/>
          <w:numId w:val="2"/>
        </w:numPr>
        <w:spacing w:before="0" w:after="60"/>
      </w:pPr>
      <w:r>
        <w:rPr>
          <w:rFonts w:ascii="Arial" w:cs="Arial" w:eastAsia="Arial" w:hAnsi="Arial"/>
          <w:sz w:val="22"/>
          <w:szCs w:val="22"/>
        </w:rPr>
        <w:t xml:space="preserve">Aevum: A User-Centric Metacognitive Attestation Layer for Lifelong AI Systems. Torasu (2025).</w:t>
      </w:r>
    </w:p>
    <w:p>
      <w:pPr>
        <w:pStyle w:val="ListParagraph"/>
        <w:numPr>
          <w:ilvl w:val="0"/>
          <w:numId w:val="2"/>
        </w:numPr>
        <w:spacing w:before="0" w:after="60"/>
      </w:pPr>
      <w:r>
        <w:rPr>
          <w:rFonts w:ascii="Arial" w:cs="Arial" w:eastAsia="Arial" w:hAnsi="Arial"/>
          <w:sz w:val="22"/>
          <w:szCs w:val="22"/>
        </w:rPr>
        <w:t xml:space="preserve">A Proposal for an Attestation-Centered Mind Science. Torasu (2025).</w:t>
      </w:r>
    </w:p>
    <w:p>
      <w:pPr>
        <w:pStyle w:val="ListParagraph"/>
        <w:numPr>
          <w:ilvl w:val="0"/>
          <w:numId w:val="2"/>
        </w:numPr>
        <w:spacing w:before="0" w:after="60"/>
      </w:pPr>
      <w:r>
        <w:rPr>
          <w:rFonts w:ascii="Arial" w:cs="Arial" w:eastAsia="Arial" w:hAnsi="Arial"/>
          <w:sz w:val="22"/>
          <w:szCs w:val="22"/>
        </w:rPr>
        <w:t xml:space="preserve">Epistemic Physics of Attestation. Torasu (2025).</w:t>
      </w:r>
    </w:p>
    <w:p>
      <w:pPr>
        <w:pStyle w:val="ListParagraph"/>
        <w:numPr>
          <w:ilvl w:val="0"/>
          <w:numId w:val="2"/>
        </w:numPr>
        <w:spacing w:before="0" w:after="60"/>
      </w:pPr>
      <w:r>
        <w:rPr>
          <w:rFonts w:ascii="Arial" w:cs="Arial" w:eastAsia="Arial" w:hAnsi="Arial"/>
          <w:sz w:val="22"/>
          <w:szCs w:val="22"/>
        </w:rPr>
        <w:t xml:space="preserve">Aevum and the Dissolution of Authoritarianism. Torasu (2025).</w:t>
      </w:r>
    </w:p>
    <w:p>
      <w:pPr>
        <w:pStyle w:val="ListParagraph"/>
        <w:numPr>
          <w:ilvl w:val="0"/>
          <w:numId w:val="2"/>
        </w:numPr>
        <w:spacing w:before="0" w:after="60"/>
      </w:pPr>
      <w:r>
        <w:rPr>
          <w:rFonts w:ascii="Arial" w:cs="Arial" w:eastAsia="Arial" w:hAnsi="Arial"/>
          <w:sz w:val="22"/>
          <w:szCs w:val="22"/>
        </w:rPr>
        <w:t xml:space="preserve">The Seam: Human Primitive v4.2.1. Torasu (2026).</w:t>
      </w:r>
    </w:p>
    <w:p>
      <w:r>
        <w:t xml:space="preserve"/>
      </w:r>
    </w:p>
    <w:p>
      <w:pPr>
        <w:pBdr>
          <w:bottom w:val="single" w:color="CCCCCC" w:sz="4" w:space="1"/>
        </w:pBdr>
        <w:spacing w:before="120" w:after="120"/>
      </w:pPr>
    </w:p>
    <w:p>
      <w:pPr>
        <w:spacing w:before="120" w:after="0"/>
        <w:jc w:val="center"/>
      </w:pPr>
      <w:r>
        <w:rPr>
          <w:rFonts w:ascii="Arial" w:cs="Arial" w:eastAsia="Arial" w:hAnsi="Arial"/>
          <w:i/>
          <w:iCs/>
          <w:color w:val="888888"/>
          <w:sz w:val="18"/>
          <w:szCs w:val="18"/>
        </w:rPr>
        <w:t xml:space="preserve">ATS-v0.1 | Aevum Technical Specification | 2026-02-20 | Torasu</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Aevum Technical Specification — ATS-v0.1 Implementation Paper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2026-02-20T09:28:13.125Z</dcterms:created>
  <dcterms:modified xsi:type="dcterms:W3CDTF">2026-02-20T09:28:13.127Z</dcterms:modified>
</cp:coreProperties>
</file>

<file path=docProps/custom.xml><?xml version="1.0" encoding="utf-8"?>
<Properties xmlns="http://schemas.openxmlformats.org/officeDocument/2006/custom-properties" xmlns:vt="http://schemas.openxmlformats.org/officeDocument/2006/docPropsVTypes"/>
</file>