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50DCC">
      <w:pPr>
        <w:bidi w:val="0"/>
        <w:jc w:val="both"/>
        <w:rPr>
          <w:rFonts w:hint="eastAsia" w:ascii="阿里巴巴普惠体 2.0 115 Black" w:hAnsi="阿里巴巴普惠体 2.0 115 Black" w:eastAsia="阿里巴巴普惠体 2.0 115 Black" w:cs="阿里巴巴普惠体 2.0 115 Black"/>
          <w:b/>
          <w:bCs/>
          <w:sz w:val="40"/>
          <w:szCs w:val="40"/>
          <w:lang w:val="en-US" w:eastAsia="zh-CN"/>
        </w:rPr>
      </w:pPr>
    </w:p>
    <w:p w14:paraId="5A06F503">
      <w:pPr>
        <w:bidi w:val="0"/>
        <w:jc w:val="center"/>
        <w:rPr>
          <w:rFonts w:hint="eastAsia" w:ascii="阿里巴巴普惠体 2.0 115 Black" w:hAnsi="阿里巴巴普惠体 2.0 115 Black" w:eastAsia="阿里巴巴普惠体 2.0 115 Black" w:cs="阿里巴巴普惠体 2.0 115 Black"/>
          <w:b/>
          <w:bCs/>
          <w:sz w:val="40"/>
          <w:szCs w:val="40"/>
          <w:lang w:val="en-US" w:eastAsia="zh-CN"/>
        </w:rPr>
      </w:pPr>
      <w:r>
        <w:rPr>
          <w:rFonts w:hint="eastAsia" w:ascii="阿里巴巴普惠体 2.0 115 Black" w:hAnsi="阿里巴巴普惠体 2.0 115 Black" w:eastAsia="阿里巴巴普惠体 2.0 115 Black" w:cs="阿里巴巴普惠体 2.0 115 Black"/>
          <w:b/>
          <w:bCs/>
          <w:sz w:val="40"/>
          <w:szCs w:val="40"/>
          <w:lang w:val="en-US" w:eastAsia="zh-CN"/>
        </w:rPr>
        <w:t>无刷电机控制驱动板</w:t>
      </w:r>
    </w:p>
    <w:p w14:paraId="39628B0F">
      <w:pPr>
        <w:bidi w:val="0"/>
        <w:jc w:val="center"/>
        <w:rPr>
          <w:rFonts w:hint="eastAsia" w:ascii="阿里巴巴普惠体 2.0 115 Black" w:hAnsi="阿里巴巴普惠体 2.0 115 Black" w:eastAsia="阿里巴巴普惠体 2.0 115 Black" w:cs="阿里巴巴普惠体 2.0 115 Black"/>
          <w:b/>
          <w:bCs/>
          <w:sz w:val="40"/>
          <w:szCs w:val="40"/>
          <w:lang w:val="en-US" w:eastAsia="zh-CN"/>
        </w:rPr>
      </w:pPr>
      <w:r>
        <w:rPr>
          <w:rFonts w:hint="eastAsia" w:ascii="阿里巴巴普惠体 2.0 115 Black" w:hAnsi="阿里巴巴普惠体 2.0 115 Black" w:eastAsia="阿里巴巴普惠体 2.0 115 Black" w:cs="阿里巴巴普惠体 2.0 115 Black"/>
          <w:b/>
          <w:bCs/>
          <w:sz w:val="40"/>
          <w:szCs w:val="40"/>
          <w:lang w:val="en-US" w:eastAsia="zh-CN"/>
        </w:rPr>
        <w:t>规格介绍</w:t>
      </w:r>
    </w:p>
    <w:p w14:paraId="260D49E6">
      <w:pPr>
        <w:bidi w:val="0"/>
        <w:jc w:val="center"/>
        <w:rPr>
          <w:rFonts w:hint="eastAsia" w:ascii="阿里巴巴普惠体 2.0 115 Black" w:hAnsi="阿里巴巴普惠体 2.0 115 Black" w:eastAsia="阿里巴巴普惠体 2.0 115 Black" w:cs="阿里巴巴普惠体 2.0 115 Black"/>
          <w:b/>
          <w:bCs/>
          <w:sz w:val="40"/>
          <w:szCs w:val="40"/>
          <w:lang w:val="en-US" w:eastAsia="zh-CN"/>
        </w:rPr>
      </w:pPr>
    </w:p>
    <w:p w14:paraId="216BFB2D">
      <w:pPr>
        <w:bidi w:val="0"/>
        <w:jc w:val="center"/>
        <w:rPr>
          <w:rFonts w:hint="default" w:ascii="阿里巴巴普惠体 2.0 115 Black" w:hAnsi="阿里巴巴普惠体 2.0 115 Black" w:eastAsia="阿里巴巴普惠体 2.0 115 Black" w:cs="阿里巴巴普惠体 2.0 115 Black"/>
          <w:b/>
          <w:bCs/>
          <w:sz w:val="40"/>
          <w:szCs w:val="40"/>
          <w:lang w:val="en-US" w:eastAsia="zh-CN"/>
        </w:rPr>
      </w:pPr>
    </w:p>
    <w:p w14:paraId="5D014AD7">
      <w:pPr>
        <w:rPr>
          <w:rFonts w:hint="eastAsia" w:eastAsiaTheme="minorEastAsia"/>
          <w:lang w:eastAsia="zh-CN"/>
        </w:rPr>
      </w:pPr>
    </w:p>
    <w:p w14:paraId="05D886DA">
      <w:pPr>
        <w:rPr>
          <w:rFonts w:hint="eastAsia" w:eastAsiaTheme="minorEastAsia"/>
          <w:lang w:eastAsia="zh-CN"/>
        </w:rPr>
      </w:pPr>
    </w:p>
    <w:p w14:paraId="5E4C26B6">
      <w:pPr>
        <w:rPr>
          <w:rFonts w:hint="eastAsia" w:eastAsiaTheme="minorEastAsia"/>
          <w:lang w:eastAsia="zh-CN"/>
        </w:rPr>
      </w:pPr>
      <w:r>
        <w:rPr>
          <w:rFonts w:hint="eastAsia" w:eastAsiaTheme="minorEastAsia"/>
          <w:lang w:eastAsia="zh-CN"/>
        </w:rPr>
        <w:drawing>
          <wp:inline distT="0" distB="0" distL="114300" distR="114300">
            <wp:extent cx="5271770" cy="2821940"/>
            <wp:effectExtent l="0" t="0" r="1270" b="12700"/>
            <wp:docPr id="5" name="图片 5" descr="FOC板(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OC板(1)"/>
                    <pic:cNvPicPr>
                      <a:picLocks noChangeAspect="1"/>
                    </pic:cNvPicPr>
                  </pic:nvPicPr>
                  <pic:blipFill>
                    <a:blip r:embed="rId5"/>
                    <a:stretch>
                      <a:fillRect/>
                    </a:stretch>
                  </pic:blipFill>
                  <pic:spPr>
                    <a:xfrm>
                      <a:off x="0" y="0"/>
                      <a:ext cx="5271770" cy="2821940"/>
                    </a:xfrm>
                    <a:prstGeom prst="rect">
                      <a:avLst/>
                    </a:prstGeom>
                  </pic:spPr>
                </pic:pic>
              </a:graphicData>
            </a:graphic>
          </wp:inline>
        </w:drawing>
      </w:r>
    </w:p>
    <w:p w14:paraId="2F119078"/>
    <w:p w14:paraId="38A894AC"/>
    <w:p w14:paraId="0109E4F2"/>
    <w:p w14:paraId="099F7DF4"/>
    <w:p w14:paraId="46726F35">
      <w:pPr>
        <w:rPr>
          <w:rFonts w:hint="eastAsia" w:eastAsiaTheme="minorEastAsia"/>
          <w:lang w:eastAsia="zh-CN"/>
        </w:rPr>
      </w:pPr>
      <w:r>
        <w:rPr>
          <w:rFonts w:hint="eastAsia"/>
          <w:lang w:eastAsia="zh-CN"/>
        </w:rPr>
        <w:t>（</w:t>
      </w:r>
      <w:r>
        <w:rPr>
          <w:rFonts w:hint="eastAsia"/>
          <w:lang w:val="en-US" w:eastAsia="zh-CN"/>
        </w:rPr>
        <w:t>AS5600图片</w:t>
      </w:r>
      <w:r>
        <w:rPr>
          <w:rFonts w:hint="eastAsia"/>
          <w:lang w:eastAsia="zh-CN"/>
        </w:rPr>
        <w:t>）</w:t>
      </w:r>
    </w:p>
    <w:p w14:paraId="3C36326F"/>
    <w:p w14:paraId="5357D123"/>
    <w:p w14:paraId="00A6F2DD">
      <w:pPr>
        <w:pStyle w:val="5"/>
        <w:jc w:val="cente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Fonts w:hint="eastAsia"/>
          <w:lang w:val="en-US" w:eastAsia="zh-CN"/>
        </w:rPr>
        <w:t>四梯科技有限公司</w:t>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br w:type="page"/>
      </w:r>
    </w:p>
    <w:p w14:paraId="60D65343">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产品名称：无刷电机控制驱动板</w:t>
      </w:r>
    </w:p>
    <w:p w14:paraId="221717B8">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规格型号：4T_BLDC</w:t>
      </w:r>
    </w:p>
    <w:p w14:paraId="19D273D9">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产品关键字：无刷电机，FOC，磁编码器，STM32，OLED。</w:t>
      </w:r>
    </w:p>
    <w:p w14:paraId="6BBF6DE4">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104B34EB">
      <w:pPr>
        <w:pStyle w:val="5"/>
        <w:jc w:val="left"/>
      </w:pPr>
      <w:r>
        <w:rPr>
          <w:rFonts w:hint="eastAsia"/>
        </w:rPr>
        <w:t>产品简介</w:t>
      </w:r>
    </w:p>
    <w:p w14:paraId="44B3F145">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本BLDC电机控制开发板由四梯科技有限公司设计推出，是一款面向工业应用与高端项目开发的高性能无刷直流电机驱动平台。</w:t>
      </w:r>
    </w:p>
    <w:p w14:paraId="183EA072">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板卡以ARM Cortex-M4内核的高性能STM32G431微控制器为核心，配备两路独立的MS8313栅极驱动器，可精准驱动大功率MOSFET，轻松驾驭单路或双路BLDC电机的复杂控制任务。为满足精准闭环控制与先进算法实现的需求，可通过I2C接口读取AS5600磁编码器用于实时转子位置反馈，并采用专业级INA240电流采样芯片，为实现精准的磁场定向控制提供了可靠的硬件保障。</w:t>
      </w:r>
    </w:p>
    <w:p w14:paraId="7FA1CE8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在此基础之上，该开发板不仅是一个功能完备的电机驱动核心，更是一个高效的工程原型验证平台。其稳健的电源与驱动设计、丰富的扩展接口，使其能够无缝对接各类传感器与上位机系统，帮助开发者快速完成从算法仿真、原型验证到系统集成的高级阶段。</w:t>
      </w:r>
    </w:p>
    <w:p w14:paraId="39C4F8E1">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无论是用于高性能无人机推进系统、精密工业传动设备，还是对动态响应有苛刻要求的机器人关节驱动，本开发板都能为您提供强大的硬件支持与灵活的二次开发空间，显著缩短项目周期，助您将创新构想加速转化为成熟的工程现实。</w:t>
      </w:r>
    </w:p>
    <w:p w14:paraId="66BC4616">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5F1B4360">
      <w:pPr>
        <w:pStyle w:val="5"/>
        <w:jc w:val="left"/>
        <w:rPr>
          <w:rFonts w:hint="eastAsia" w:eastAsia="阿里巴巴普惠体 2.0 105 Heavy"/>
          <w:lang w:val="en-US" w:eastAsia="zh-CN"/>
        </w:rPr>
      </w:pPr>
      <w:r>
        <w:rPr>
          <w:rFonts w:hint="eastAsia"/>
        </w:rPr>
        <w:t>产品</w:t>
      </w:r>
      <w:r>
        <w:rPr>
          <w:rFonts w:hint="eastAsia"/>
          <w:lang w:val="en-US" w:eastAsia="zh-CN"/>
        </w:rPr>
        <w:t>特点</w:t>
      </w:r>
    </w:p>
    <w:p w14:paraId="7BD46831">
      <w:pPr>
        <w:numPr>
          <w:ilvl w:val="0"/>
          <w:numId w:val="1"/>
        </w:numPr>
        <w:spacing w:line="400" w:lineRule="exact"/>
        <w:ind w:left="420" w:hanging="420" w:firstLineChars="0"/>
        <w:jc w:val="both"/>
        <w:rPr>
          <w:rFonts w:ascii="阿里巴巴普惠体 2.0 55 Regular" w:hAnsi="阿里巴巴普惠体 2.0 55 Regular" w:eastAsia="阿里巴巴普惠体 2.0 55 Regular" w:cs="Times New Roman"/>
          <w:kern w:val="2"/>
          <w:sz w:val="24"/>
          <w:szCs w:val="22"/>
          <w:lang w:val="en-US" w:eastAsia="zh-CN" w:bidi="ar-SA"/>
        </w:rPr>
      </w:pPr>
      <w:r>
        <w:rPr>
          <w:rFonts w:ascii="阿里巴巴普惠体 2.0 55 Regular" w:hAnsi="阿里巴巴普惠体 2.0 55 Regular" w:eastAsia="阿里巴巴普惠体 2.0 55 Regular" w:cs="Times New Roman"/>
          <w:kern w:val="2"/>
          <w:sz w:val="24"/>
          <w:szCs w:val="22"/>
          <w:lang w:val="en-US" w:eastAsia="zh-CN" w:bidi="ar-SA"/>
        </w:rPr>
        <w:t>核心架构</w:t>
      </w:r>
      <w:r>
        <w:rPr>
          <w:rFonts w:hint="default" w:ascii="阿里巴巴普惠体 2.0 55 Regular" w:hAnsi="阿里巴巴普惠体 2.0 55 Regular" w:eastAsia="阿里巴巴普惠体 2.0 55 Regular" w:cs="Times New Roman"/>
          <w:kern w:val="2"/>
          <w:sz w:val="24"/>
          <w:szCs w:val="22"/>
          <w:lang w:val="en-US" w:eastAsia="zh-CN" w:bidi="ar-SA"/>
        </w:rPr>
        <w:t>：板载高性能STM32G431微控制器，为复杂的电机控制算法（如FOC、SVPWM）提供充足的算力支撑</w:t>
      </w:r>
      <w:r>
        <w:rPr>
          <w:rFonts w:ascii="阿里巴巴普惠体 2.0 55 Regular" w:hAnsi="阿里巴巴普惠体 2.0 55 Regular" w:eastAsia="阿里巴巴普惠体 2.0 55 Regular" w:cs="Times New Roman"/>
          <w:kern w:val="2"/>
          <w:sz w:val="24"/>
          <w:szCs w:val="22"/>
          <w:lang w:val="en-US" w:eastAsia="zh-CN" w:bidi="ar-SA"/>
        </w:rPr>
        <w:t>。</w:t>
      </w:r>
    </w:p>
    <w:p w14:paraId="2E773801">
      <w:pPr>
        <w:numPr>
          <w:ilvl w:val="0"/>
          <w:numId w:val="1"/>
        </w:numPr>
        <w:spacing w:line="400" w:lineRule="exact"/>
        <w:ind w:left="420" w:hanging="420" w:firstLineChars="0"/>
        <w:jc w:val="both"/>
        <w:rPr>
          <w:rFonts w:ascii="阿里巴巴普惠体 2.0 55 Regular" w:hAnsi="阿里巴巴普惠体 2.0 55 Regular" w:eastAsia="阿里巴巴普惠体 2.0 55 Regular" w:cs="Times New Roman"/>
          <w:kern w:val="2"/>
          <w:sz w:val="24"/>
          <w:szCs w:val="22"/>
          <w:lang w:val="en-US" w:eastAsia="zh-CN" w:bidi="ar-SA"/>
        </w:rPr>
      </w:pPr>
      <w:r>
        <w:rPr>
          <w:rFonts w:ascii="阿里巴巴普惠体 2.0 55 Regular" w:hAnsi="阿里巴巴普惠体 2.0 55 Regular" w:eastAsia="阿里巴巴普惠体 2.0 55 Regular" w:cs="Times New Roman"/>
          <w:kern w:val="2"/>
          <w:sz w:val="24"/>
          <w:szCs w:val="22"/>
          <w:lang w:val="en-US" w:eastAsia="zh-CN" w:bidi="ar-SA"/>
        </w:rPr>
        <w:t>双路驱动设计</w:t>
      </w:r>
      <w:r>
        <w:rPr>
          <w:rFonts w:hint="default" w:ascii="阿里巴巴普惠体 2.0 55 Regular" w:hAnsi="阿里巴巴普惠体 2.0 55 Regular" w:eastAsia="阿里巴巴普惠体 2.0 55 Regular" w:cs="Times New Roman"/>
          <w:kern w:val="2"/>
          <w:sz w:val="24"/>
          <w:szCs w:val="22"/>
          <w:lang w:val="en-US" w:eastAsia="zh-CN" w:bidi="ar-SA"/>
        </w:rPr>
        <w:t>：集成两路独立的MS8313栅极驱动器，可同时驱动两个BLDC电机，支持双电机协同或独立控制的高级应用场景</w:t>
      </w:r>
      <w:r>
        <w:rPr>
          <w:rFonts w:ascii="阿里巴巴普惠体 2.0 55 Regular" w:hAnsi="阿里巴巴普惠体 2.0 55 Regular" w:eastAsia="阿里巴巴普惠体 2.0 55 Regular" w:cs="Times New Roman"/>
          <w:kern w:val="2"/>
          <w:sz w:val="24"/>
          <w:szCs w:val="22"/>
          <w:lang w:val="en-US" w:eastAsia="zh-CN" w:bidi="ar-SA"/>
        </w:rPr>
        <w:t>。</w:t>
      </w:r>
    </w:p>
    <w:p w14:paraId="4412DC8A">
      <w:pPr>
        <w:numPr>
          <w:ilvl w:val="0"/>
          <w:numId w:val="1"/>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Fonts w:hint="eastAsia" w:ascii="阿里巴巴普惠体 2.0 55 Regular" w:hAnsi="阿里巴巴普惠体 2.0 55 Regular" w:eastAsia="阿里巴巴普惠体 2.0 55 Regular" w:cs="Times New Roman"/>
          <w:kern w:val="2"/>
          <w:sz w:val="24"/>
          <w:szCs w:val="22"/>
          <w:lang w:val="en-US" w:eastAsia="zh-CN" w:bidi="ar-SA"/>
        </w:rPr>
        <w:t>高精度反馈系统：板载AS5600磁编码器，提供精准的转子位置信息；配合基于INA240的专业级电流采样电路，为闭环控制构建了完整的实时传感数据链。</w:t>
      </w:r>
    </w:p>
    <w:p w14:paraId="3212AC95">
      <w:pPr>
        <w:numPr>
          <w:ilvl w:val="0"/>
          <w:numId w:val="1"/>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Fonts w:hint="eastAsia" w:ascii="阿里巴巴普惠体 2.0 55 Regular" w:hAnsi="阿里巴巴普惠体 2.0 55 Regular" w:eastAsia="阿里巴巴普惠体 2.0 55 Regular" w:cs="Times New Roman"/>
          <w:kern w:val="2"/>
          <w:sz w:val="24"/>
          <w:szCs w:val="22"/>
          <w:lang w:val="en-US" w:eastAsia="zh-CN" w:bidi="ar-SA"/>
        </w:rPr>
        <w:t>工业级接口与易用性：提供I2C等标准通信接口，便于与外部传感器或上位机扩展连接。设计兼顾稳健性与便捷性，助力开发者快速进行原型验证与集成。</w:t>
      </w:r>
      <w:bookmarkStart w:id="0" w:name="_GoBack"/>
      <w:bookmarkEnd w:id="0"/>
    </w:p>
    <w:p w14:paraId="0CE3ED47">
      <w:pPr>
        <w:pStyle w:val="5"/>
        <w:jc w:val="left"/>
        <w:rPr>
          <w:rFonts w:hint="eastAsia"/>
          <w:lang w:val="en-US" w:eastAsia="zh-CN"/>
        </w:rPr>
      </w:pPr>
      <w:r>
        <w:rPr>
          <w:rFonts w:hint="eastAsia"/>
          <w:lang w:val="en-US" w:eastAsia="zh-CN"/>
        </w:rPr>
        <w:t>资源配置</w:t>
      </w:r>
    </w:p>
    <w:p w14:paraId="3D1323A5">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主控MCU：STM32G431 (ARM Cortex-M4)</w:t>
      </w:r>
    </w:p>
    <w:p w14:paraId="2C2D4A10">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2.</w:t>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电机驱动：两路MS8313栅极驱动器</w:t>
      </w:r>
    </w:p>
    <w:p w14:paraId="0BBEDB9F">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3.</w:t>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位置传感器：AS5600磁编码器</w:t>
      </w:r>
    </w:p>
    <w:p w14:paraId="0370CFFB">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4.</w:t>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电流检测：INA240高侧电流采样放大器</w:t>
      </w:r>
    </w:p>
    <w:p w14:paraId="54137660">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5.</w:t>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通信接口：I2C、USART、USB等</w:t>
      </w:r>
    </w:p>
    <w:p w14:paraId="61BB4275">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6.</w:t>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调试接口：SWD/JTAG</w:t>
      </w:r>
    </w:p>
    <w:p w14:paraId="0ED51799">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7.</w:t>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电源管理：宽电压输入DC-DC与稳压电路</w:t>
      </w:r>
    </w:p>
    <w:p w14:paraId="4919ECEC">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7"/>
          <w:rFonts w:hint="default" w:ascii="阿里巴巴普惠体 2.0 55 Regular" w:hAnsi="阿里巴巴普惠体 2.0 55 Regular" w:eastAsia="阿里巴巴普惠体 2.0 55 Regular" w:cs="阿里巴巴普惠体 2.0 55 Regular"/>
          <w:sz w:val="24"/>
          <w:szCs w:val="24"/>
          <w:lang w:val="en-US" w:eastAsia="zh-CN"/>
          <w:woUserID w:val="0"/>
        </w:rPr>
      </w:pPr>
    </w:p>
    <w:p w14:paraId="37B5334D">
      <w:pPr>
        <w:pStyle w:val="5"/>
        <w:jc w:val="left"/>
      </w:pPr>
      <w:r>
        <w:rPr>
          <w:rFonts w:hint="eastAsia"/>
        </w:rPr>
        <w:t>开发环境</w:t>
      </w:r>
    </w:p>
    <w:p w14:paraId="5D123767">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集成开发环境 (IDE)：STM32CubeIDE / Keil MDK</w:t>
      </w:r>
    </w:p>
    <w:p w14:paraId="532F1574">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ind w:left="0" w:leftChars="0" w:firstLine="0" w:firstLineChars="0"/>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关键开发工具：STM32CubeMX (用于引脚配置、时钟树初始化及代码生成)</w:t>
      </w:r>
    </w:p>
    <w:p w14:paraId="2EA322FE">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ind w:left="0" w:leftChars="0" w:firstLine="0" w:firstLineChars="0"/>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电机控制库：可结合ST官方电机控制软件开发套件进行高阶开发</w:t>
      </w:r>
    </w:p>
    <w:p w14:paraId="490F85AA">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leftChars="0"/>
        <w:textAlignment w:val="auto"/>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22BF317E">
      <w:pPr>
        <w:pStyle w:val="5"/>
        <w:jc w:val="left"/>
        <w:rPr>
          <w:rFonts w:hint="eastAsia" w:eastAsiaTheme="minorEastAsia"/>
          <w:lang w:val="en-US" w:eastAsia="zh-CN"/>
        </w:rPr>
      </w:pPr>
      <w:r>
        <w:rPr>
          <w:rFonts w:hint="eastAsia"/>
          <w:lang w:val="en-US" w:eastAsia="zh-CN"/>
        </w:rPr>
        <w:t>硬件资源布局</w:t>
      </w:r>
    </w:p>
    <w:p w14:paraId="00BFE9EF">
      <w:pPr>
        <w:rPr>
          <w:rFonts w:hint="eastAsia"/>
          <w:lang w:val="en-US" w:eastAsia="zh-CN"/>
        </w:rPr>
      </w:pPr>
    </w:p>
    <w:p w14:paraId="748CFC89">
      <w:pPr>
        <w:jc w:val="center"/>
      </w:pPr>
      <w:r>
        <w:drawing>
          <wp:inline distT="0" distB="0" distL="114300" distR="114300">
            <wp:extent cx="2487295" cy="2125980"/>
            <wp:effectExtent l="0" t="0" r="12065" b="762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
                    <a:stretch>
                      <a:fillRect/>
                    </a:stretch>
                  </pic:blipFill>
                  <pic:spPr>
                    <a:xfrm>
                      <a:off x="0" y="0"/>
                      <a:ext cx="2487295" cy="2125980"/>
                    </a:xfrm>
                    <a:prstGeom prst="rect">
                      <a:avLst/>
                    </a:prstGeom>
                    <a:noFill/>
                    <a:ln>
                      <a:noFill/>
                    </a:ln>
                  </pic:spPr>
                </pic:pic>
              </a:graphicData>
            </a:graphic>
          </wp:inline>
        </w:drawing>
      </w:r>
      <w:r>
        <w:drawing>
          <wp:inline distT="0" distB="0" distL="114300" distR="114300">
            <wp:extent cx="1940560" cy="1940560"/>
            <wp:effectExtent l="0" t="0" r="10160" b="1016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7"/>
                    <a:stretch>
                      <a:fillRect/>
                    </a:stretch>
                  </pic:blipFill>
                  <pic:spPr>
                    <a:xfrm>
                      <a:off x="0" y="0"/>
                      <a:ext cx="1940560" cy="1940560"/>
                    </a:xfrm>
                    <a:prstGeom prst="rect">
                      <a:avLst/>
                    </a:prstGeom>
                    <a:noFill/>
                    <a:ln>
                      <a:noFill/>
                    </a:ln>
                  </pic:spPr>
                </pic:pic>
              </a:graphicData>
            </a:graphic>
          </wp:inline>
        </w:drawing>
      </w:r>
    </w:p>
    <w:p w14:paraId="06B97D84">
      <w:pPr>
        <w:jc w:val="center"/>
        <w:rPr>
          <w:rFonts w:hint="default"/>
          <w:lang w:val="en-US" w:eastAsia="zh-CN"/>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图1.1 4T_BLDC：4T_AS5600硬件资源布局正面图</w:t>
      </w:r>
    </w:p>
    <w:p w14:paraId="689EC3D7">
      <w:pPr>
        <w:rPr>
          <w:rFonts w:hint="eastAsia"/>
          <w:lang w:val="en-US" w:eastAsia="zh-CN"/>
        </w:rPr>
      </w:pPr>
      <w:r>
        <w:rPr>
          <w:rFonts w:hint="eastAsia"/>
          <w:lang w:val="en-US" w:eastAsia="zh-CN"/>
        </w:rPr>
        <w:br w:type="page"/>
      </w:r>
    </w:p>
    <w:p w14:paraId="35245039">
      <w:pPr>
        <w:jc w:val="center"/>
      </w:pPr>
      <w:r>
        <w:drawing>
          <wp:inline distT="0" distB="0" distL="114300" distR="114300">
            <wp:extent cx="5267325" cy="2922270"/>
            <wp:effectExtent l="0" t="0" r="5715"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7325" cy="2922270"/>
                    </a:xfrm>
                    <a:prstGeom prst="rect">
                      <a:avLst/>
                    </a:prstGeom>
                    <a:noFill/>
                    <a:ln>
                      <a:noFill/>
                    </a:ln>
                  </pic:spPr>
                </pic:pic>
              </a:graphicData>
            </a:graphic>
          </wp:inline>
        </w:drawing>
      </w:r>
    </w:p>
    <w:p w14:paraId="72ED37B0">
      <w:pPr>
        <w:jc w:val="center"/>
        <w:rPr>
          <w:rFonts w:hint="default"/>
          <w:lang w:val="en-US" w:eastAsia="zh-CN"/>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 xml:space="preserve"> 图1.2 4T_BLDC：4T_FOC硬件资源布局正面图</w:t>
      </w:r>
    </w:p>
    <w:p w14:paraId="47DFF172">
      <w:pPr>
        <w:jc w:val="center"/>
      </w:pPr>
      <w:r>
        <w:drawing>
          <wp:inline distT="0" distB="0" distL="114300" distR="114300">
            <wp:extent cx="5272405" cy="2995930"/>
            <wp:effectExtent l="0" t="0" r="635"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72405" cy="2995930"/>
                    </a:xfrm>
                    <a:prstGeom prst="rect">
                      <a:avLst/>
                    </a:prstGeom>
                    <a:noFill/>
                    <a:ln>
                      <a:noFill/>
                    </a:ln>
                  </pic:spPr>
                </pic:pic>
              </a:graphicData>
            </a:graphic>
          </wp:inline>
        </w:drawing>
      </w:r>
    </w:p>
    <w:p w14:paraId="091E9720">
      <w:pPr>
        <w:jc w:val="center"/>
        <w:rPr>
          <w:rStyle w:val="7"/>
          <w:rFonts w:hint="eastAsia"/>
          <w:lang w:val="en-US" w:eastAsia="zh-CN"/>
          <w:woUserID w:val="0"/>
        </w:rPr>
      </w:pP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 xml:space="preserve"> 图1.3</w:t>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7"/>
          <w:rFonts w:hint="eastAsia" w:ascii="阿里巴巴普惠体 2.0 55 Regular" w:hAnsi="阿里巴巴普惠体 2.0 55 Regular" w:eastAsia="阿里巴巴普惠体 2.0 55 Regular" w:cs="阿里巴巴普惠体 2.0 55 Regular"/>
          <w:sz w:val="24"/>
          <w:szCs w:val="24"/>
          <w:lang w:val="en-US" w:eastAsia="zh-CN"/>
          <w:woUserID w:val="0"/>
        </w:rPr>
        <w:t>4T_BLDC：4T_FOC硬件资源布局背面图</w:t>
      </w:r>
    </w:p>
    <w:p w14:paraId="771E11EB"/>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阿里巴巴普惠体 2.0 105 Heavy">
    <w:panose1 w:val="00020600040101010101"/>
    <w:charset w:val="86"/>
    <w:family w:val="roman"/>
    <w:pitch w:val="default"/>
    <w:sig w:usb0="A00002FF" w:usb1="5ACF7CFB" w:usb2="0000001E" w:usb3="00000000" w:csb0="0004009F" w:csb1="00000000"/>
  </w:font>
  <w:font w:name="阿里巴巴普惠体 2.0 115 Black">
    <w:panose1 w:val="00020600040101010101"/>
    <w:charset w:val="86"/>
    <w:family w:val="auto"/>
    <w:pitch w:val="default"/>
    <w:sig w:usb0="A00002FF" w:usb1="5ACF7CFB" w:usb2="0000001E" w:usb3="00000000" w:csb0="0004009F" w:csb1="00000000"/>
  </w:font>
  <w:font w:name="阿里巴巴普惠体 2.0 55 Regular">
    <w:panose1 w:val="00020600040101010101"/>
    <w:charset w:val="86"/>
    <w:family w:val="auto"/>
    <w:pitch w:val="default"/>
    <w:sig w:usb0="A00002FF" w:usb1="7ACF7CFB" w:usb2="0000001E" w:usb3="00000000" w:csb0="0004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1E029">
    <w:pPr>
      <w:pStyle w:val="3"/>
    </w:pPr>
    <w:r>
      <w:rPr>
        <w:rFonts w:hint="eastAsia" w:ascii="阿里巴巴普惠体 2.0 115 Black" w:hAnsi="阿里巴巴普惠体 2.0 115 Black" w:eastAsia="阿里巴巴普惠体 2.0 115 Black" w:cs="阿里巴巴普惠体 2.0 115 Black"/>
        <w:sz w:val="36"/>
        <w:szCs w:val="36"/>
        <w:u w:val="single"/>
        <w:lang w:val="en-US" w:eastAsia="zh-CN"/>
      </w:rPr>
      <w:t xml:space="preserve">4T_BLDC </w:t>
    </w:r>
    <w:r>
      <w:rPr>
        <w:rFonts w:hint="eastAsia"/>
        <w:sz w:val="36"/>
        <w:szCs w:val="36"/>
        <w:u w:val="single"/>
        <w:lang w:val="en-US" w:eastAsia="zh-CN"/>
      </w:rPr>
      <w:t xml:space="preserve">           </w:t>
    </w:r>
    <w:r>
      <w:rPr>
        <w:rFonts w:hint="eastAsia"/>
        <w:sz w:val="36"/>
        <w:szCs w:val="36"/>
        <w:u w:val="single"/>
        <w:lang w:val="en-US" w:eastAsia="zh-CN"/>
      </w:rPr>
      <w:tab/>
    </w:r>
    <w:r>
      <w:rPr>
        <w:rFonts w:hint="eastAsia"/>
        <w:sz w:val="36"/>
        <w:szCs w:val="36"/>
        <w:u w:val="single"/>
        <w:lang w:val="en-US" w:eastAsia="zh-CN"/>
      </w:rPr>
      <w:tab/>
    </w:r>
    <w:r>
      <w:rPr>
        <w:sz w:val="36"/>
        <w:szCs w:val="36"/>
        <w:u w:val="single"/>
      </w:rPr>
      <w:drawing>
        <wp:inline distT="0" distB="0" distL="114300" distR="114300">
          <wp:extent cx="948690" cy="290830"/>
          <wp:effectExtent l="0" t="0" r="11430" b="1397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
                  <a:stretch>
                    <a:fillRect/>
                  </a:stretch>
                </pic:blipFill>
                <pic:spPr>
                  <a:xfrm>
                    <a:off x="0" y="0"/>
                    <a:ext cx="948690" cy="2908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773F2"/>
    <w:multiLevelType w:val="singleLevel"/>
    <w:tmpl w:val="AA3773F2"/>
    <w:lvl w:ilvl="0" w:tentative="0">
      <w:start w:val="1"/>
      <w:numFmt w:val="decimal"/>
      <w:lvlText w:val="%1."/>
      <w:lvlJc w:val="left"/>
    </w:lvl>
  </w:abstractNum>
  <w:abstractNum w:abstractNumId="1">
    <w:nsid w:val="03DBEAF8"/>
    <w:multiLevelType w:val="singleLevel"/>
    <w:tmpl w:val="03DBEAF8"/>
    <w:lvl w:ilvl="0" w:tentative="0">
      <w:start w:val="1"/>
      <w:numFmt w:val="decimal"/>
      <w:lvlText w:val="%1."/>
      <w:lvlJc w:val="left"/>
    </w:lvl>
  </w:abstractNum>
  <w:abstractNum w:abstractNumId="2">
    <w:nsid w:val="2F1D1DAC"/>
    <w:multiLevelType w:val="multilevel"/>
    <w:tmpl w:val="2F1D1D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8B5BC0"/>
    <w:rsid w:val="09A57851"/>
    <w:rsid w:val="0C2E59F3"/>
    <w:rsid w:val="11676469"/>
    <w:rsid w:val="17C31582"/>
    <w:rsid w:val="18867C29"/>
    <w:rsid w:val="26CB688E"/>
    <w:rsid w:val="2D936EB0"/>
    <w:rsid w:val="46E91D19"/>
    <w:rsid w:val="56270168"/>
    <w:rsid w:val="60422997"/>
    <w:rsid w:val="6BF64E30"/>
    <w:rsid w:val="6D2C5988"/>
    <w:rsid w:val="73AF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rPr>
      <w:sz w:val="24"/>
    </w:rPr>
  </w:style>
  <w:style w:type="paragraph" w:styleId="5">
    <w:name w:val="Title"/>
    <w:basedOn w:val="1"/>
    <w:next w:val="1"/>
    <w:qFormat/>
    <w:uiPriority w:val="10"/>
    <w:pPr>
      <w:spacing w:before="240" w:after="60" w:line="360" w:lineRule="auto"/>
      <w:jc w:val="center"/>
      <w:outlineLvl w:val="0"/>
    </w:pPr>
    <w:rPr>
      <w:rFonts w:ascii="阿里巴巴普惠体 2.0 105 Heavy" w:hAnsi="阿里巴巴普惠体 2.0 105 Heavy" w:eastAsia="阿里巴巴普惠体 2.0 105 Heavy" w:cstheme="majorBidi"/>
      <w:b/>
      <w:bCs/>
      <w:sz w:val="32"/>
      <w:szCs w:val="32"/>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925</Words>
  <Characters>1160</Characters>
  <Lines>0</Lines>
  <Paragraphs>0</Paragraphs>
  <TotalTime>186</TotalTime>
  <ScaleCrop>false</ScaleCrop>
  <LinksUpToDate>false</LinksUpToDate>
  <CharactersWithSpaces>1179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2025-10-29T06:30:00Z</dcterms:created>
  <dc:creator>niubi</dc:creator>
  <cp:lastModifiedBy>老绵羊</cp:lastModifiedBy>
  <dcterms:modified xsi:type="dcterms:W3CDTF">2025-10-31T06:56:39Z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eyJoZGlkIjoiM2RiYzJiZjIzNDA0MGVlNTRiM2E2ZTFkNzRmYmViNjciLCJ1c2VySWQiOiIxMjcxNTk5MjkwIn0=</vt:lpwstr>
  </property>
  <property fmtid="{D5CDD505-2E9C-101B-9397-08002B2CF9AE}" pid="4" name="ICV">
    <vt:lpwstr>E527E95320FB4FAA94083FDC28E19722_12</vt:lpwstr>
  </property>
</Properties>
</file>