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sz w:val="32"/>
        </w:rPr>
        <w:t>Tranz-Algo — Contribution Split</w:t>
      </w:r>
    </w:p>
    <w:p>
      <w:pPr>
        <w:jc w:val="center"/>
      </w:pPr>
      <w:r>
        <w:rPr>
          <w:rFonts w:ascii="Calibri" w:hAnsi="Calibri" w:eastAsia="Calibri"/>
          <w:b w:val="0"/>
          <w:i/>
          <w:sz w:val="22"/>
        </w:rPr>
        <w:t>How Nixon Shibuchi (2021437361) and Musonda Katongo (2020583969) divided the work</w:t>
        <w:br/>
        <w:t>Final Year Project · University of Zambia · Computing and Informatics</w:t>
      </w:r>
    </w:p>
    <w:p>
      <w:pPr>
        <w:pStyle w:val="Heading1"/>
      </w:pPr>
      <w:r>
        <w:rPr>
          <w:rFonts w:ascii="Calibri" w:hAnsi="Calibri" w:eastAsia="Calibri"/>
          <w:b/>
          <w:i w:val="0"/>
          <w:sz w:val="32"/>
        </w:rPr>
        <w:t>1. One-sentence summary</w:t>
      </w:r>
    </w:p>
    <w:p>
      <w:pPr>
        <w:spacing w:after="160" w:before="0"/>
      </w:pPr>
      <w:r>
        <w:rPr>
          <w:rFonts w:ascii="Calibri" w:hAnsi="Calibri" w:eastAsia="Calibri"/>
          <w:b w:val="0"/>
          <w:i w:val="0"/>
          <w:sz w:val="22"/>
        </w:rPr>
        <w:t>We designed almost everything together before writing code; Nixon led most of the implementation; Musonda co-owned architecture and design decisions, reviewed literature, and contributed a major UI / True Cost workflow update.</w:t>
      </w:r>
    </w:p>
    <w:p>
      <w:pPr>
        <w:pStyle w:val="Heading1"/>
      </w:pPr>
      <w:r>
        <w:rPr>
          <w:rFonts w:ascii="Calibri" w:hAnsi="Calibri" w:eastAsia="Calibri"/>
          <w:b/>
          <w:i w:val="0"/>
          <w:sz w:val="32"/>
        </w:rPr>
        <w:t>2. How we worked (process)</w:t>
      </w:r>
    </w:p>
    <w:p>
      <w:pPr>
        <w:pStyle w:val="ListBullet"/>
        <w:spacing w:after="80"/>
      </w:pPr>
      <w:r>
        <w:rPr>
          <w:rFonts w:ascii="Calibri" w:hAnsi="Calibri" w:eastAsia="Calibri"/>
          <w:b w:val="0"/>
          <w:i w:val="0"/>
          <w:sz w:val="22"/>
        </w:rPr>
        <w:t>Discuss first, then build. Architecture, technology choices, dual cost modes (Auto FX / Already-Local), True Cost Ledger, Cost history, Allocation Comparator, ERD, and formulas were agreed in joint design sessions before coding started.</w:t>
      </w:r>
    </w:p>
    <w:p>
      <w:pPr>
        <w:pStyle w:val="ListBullet"/>
        <w:spacing w:after="80"/>
      </w:pPr>
      <w:r>
        <w:rPr>
          <w:rFonts w:ascii="Calibri" w:hAnsi="Calibri" w:eastAsia="Calibri"/>
          <w:b w:val="0"/>
          <w:i w:val="0"/>
          <w:sz w:val="22"/>
        </w:rPr>
        <w:t>Incremental delivery after the costing rules were frozen: auth → products → shipments → True Cost → stock.</w:t>
      </w:r>
    </w:p>
    <w:p>
      <w:pPr>
        <w:pStyle w:val="ListBullet"/>
        <w:spacing w:after="80"/>
      </w:pPr>
      <w:r>
        <w:rPr>
          <w:rFonts w:ascii="Calibri" w:hAnsi="Calibri" w:eastAsia="Calibri"/>
          <w:b w:val="0"/>
          <w:i w:val="0"/>
          <w:sz w:val="22"/>
        </w:rPr>
        <w:t>Literature and design docs list joint ownership or lead + reviewer where that matches what we did.</w:t>
      </w:r>
    </w:p>
    <w:p>
      <w:pPr>
        <w:pStyle w:val="Heading1"/>
      </w:pPr>
      <w:r>
        <w:rPr>
          <w:rFonts w:ascii="Calibri" w:hAnsi="Calibri" w:eastAsia="Calibri"/>
          <w:b/>
          <w:i w:val="0"/>
          <w:sz w:val="32"/>
        </w:rPr>
        <w:t>3. Shared ownership (both)</w:t>
      </w:r>
    </w:p>
    <w:p>
      <w:pPr>
        <w:spacing w:after="160" w:before="0"/>
      </w:pPr>
      <w:r>
        <w:rPr>
          <w:rFonts w:ascii="Calibri" w:hAnsi="Calibri" w:eastAsia="Calibri"/>
          <w:b w:val="0"/>
          <w:i w:val="0"/>
          <w:sz w:val="22"/>
        </w:rPr>
        <w:t>These are joint contributions — discussed and decided together:</w:t>
      </w:r>
    </w:p>
    <w:p>
      <w:pPr>
        <w:pStyle w:val="ListBullet"/>
        <w:spacing w:after="80"/>
      </w:pPr>
      <w:r>
        <w:rPr>
          <w:rFonts w:ascii="Calibri" w:hAnsi="Calibri" w:eastAsia="Calibri"/>
          <w:b w:val="0"/>
          <w:i w:val="0"/>
          <w:sz w:val="22"/>
        </w:rPr>
        <w:t>Problem definition and academic gap (import-batch costing vs spreadsheet practice).</w:t>
      </w:r>
    </w:p>
    <w:p>
      <w:pPr>
        <w:pStyle w:val="ListBullet"/>
        <w:spacing w:after="80"/>
      </w:pPr>
      <w:r>
        <w:rPr>
          <w:rFonts w:ascii="Calibri" w:hAnsi="Calibri" w:eastAsia="Calibri"/>
          <w:b w:val="0"/>
          <w:i w:val="0"/>
          <w:sz w:val="22"/>
        </w:rPr>
        <w:t>System architecture (FastAPI + React + PostgreSQL, SQLite fallback for local/dev).</w:t>
      </w:r>
    </w:p>
    <w:p>
      <w:pPr>
        <w:pStyle w:val="ListBullet"/>
        <w:spacing w:after="80"/>
      </w:pPr>
      <w:r>
        <w:rPr>
          <w:rFonts w:ascii="Calibri" w:hAnsi="Calibri" w:eastAsia="Calibri"/>
          <w:b w:val="0"/>
          <w:i w:val="0"/>
          <w:sz w:val="22"/>
        </w:rPr>
        <w:t>Technology selection and justified changes (e.g. React Native companion deferred; web-first MVP).</w:t>
      </w:r>
    </w:p>
    <w:p>
      <w:pPr>
        <w:pStyle w:val="ListBullet"/>
        <w:spacing w:after="80"/>
      </w:pPr>
      <w:r>
        <w:rPr>
          <w:rFonts w:ascii="Calibri" w:hAnsi="Calibri" w:eastAsia="Calibri"/>
          <w:b w:val="0"/>
          <w:i w:val="0"/>
          <w:sz w:val="22"/>
        </w:rPr>
        <w:t>Data model / ERD and screen wireframe direction.</w:t>
      </w:r>
    </w:p>
    <w:p>
      <w:pPr>
        <w:pStyle w:val="ListBullet"/>
        <w:spacing w:after="80"/>
      </w:pPr>
      <w:r>
        <w:rPr>
          <w:rFonts w:ascii="Calibri" w:hAnsi="Calibri" w:eastAsia="Calibri"/>
          <w:b w:val="0"/>
          <w:i w:val="0"/>
          <w:sz w:val="22"/>
        </w:rPr>
        <w:t>Costing rules: dual modes, allocation methods, duty/VAT from paperwork, safety floor idea.</w:t>
      </w:r>
    </w:p>
    <w:p>
      <w:pPr>
        <w:pStyle w:val="ListBullet"/>
        <w:spacing w:after="80"/>
      </w:pPr>
      <w:r>
        <w:rPr>
          <w:rFonts w:ascii="Calibri" w:hAnsi="Calibri" w:eastAsia="Calibri"/>
          <w:b w:val="0"/>
          <w:i w:val="0"/>
          <w:sz w:val="22"/>
        </w:rPr>
        <w:t>Evaluation approach (Demo A Already-Local grocery; Demo B Auto FX phone parts).</w:t>
      </w:r>
    </w:p>
    <w:p>
      <w:pPr>
        <w:pStyle w:val="ListBullet"/>
        <w:spacing w:after="80"/>
      </w:pPr>
      <w:r>
        <w:rPr>
          <w:rFonts w:ascii="Calibri" w:hAnsi="Calibri" w:eastAsia="Calibri"/>
          <w:b w:val="0"/>
          <w:i w:val="0"/>
          <w:sz w:val="22"/>
        </w:rPr>
        <w:t>Viva narrative: who speaks problem/design vs who drives the live demo (rehearsed together).</w:t>
      </w:r>
    </w:p>
    <w:p>
      <w:pPr>
        <w:pStyle w:val="Heading1"/>
      </w:pPr>
      <w:r>
        <w:rPr>
          <w:rFonts w:ascii="Calibri" w:hAnsi="Calibri" w:eastAsia="Calibri"/>
          <w:b/>
          <w:i w:val="0"/>
          <w:sz w:val="32"/>
        </w:rPr>
        <w:t>4. Nixon Shibuchi — primary implementation</w:t>
      </w:r>
    </w:p>
    <w:p>
      <w:pPr>
        <w:spacing w:after="160" w:before="0"/>
      </w:pPr>
      <w:r>
        <w:rPr>
          <w:rFonts w:ascii="Calibri" w:hAnsi="Calibri" w:eastAsia="Calibri"/>
          <w:b w:val="0"/>
          <w:i w:val="0"/>
          <w:sz w:val="22"/>
        </w:rPr>
        <w:t>Most of the working codebase and documentation updates, including ongoing/pending work, were implemented by Nixon:</w:t>
      </w:r>
    </w:p>
    <w:p>
      <w:pPr>
        <w:pStyle w:val="ListBullet"/>
        <w:spacing w:after="80"/>
      </w:pPr>
      <w:r>
        <w:rPr>
          <w:rFonts w:ascii="Calibri" w:hAnsi="Calibri" w:eastAsia="Calibri"/>
          <w:b w:val="0"/>
          <w:i w:val="0"/>
          <w:sz w:val="22"/>
        </w:rPr>
        <w:t>Backend: FastAPI app structure, auth, products, shipments, FX cache, True Cost / Cost history APIs.</w:t>
      </w:r>
    </w:p>
    <w:p>
      <w:pPr>
        <w:pStyle w:val="ListBullet"/>
        <w:spacing w:after="80"/>
      </w:pPr>
      <w:r>
        <w:rPr>
          <w:rFonts w:ascii="Calibri" w:hAnsi="Calibri" w:eastAsia="Calibri"/>
          <w:b w:val="0"/>
          <w:i w:val="0"/>
          <w:sz w:val="22"/>
        </w:rPr>
        <w:t>Costing engine and dual-mode logic (Auto FX vs Already-Local), allocation, safety floor behaviour.</w:t>
      </w:r>
    </w:p>
    <w:p>
      <w:pPr>
        <w:pStyle w:val="ListBullet"/>
        <w:spacing w:after="80"/>
      </w:pPr>
      <w:r>
        <w:rPr>
          <w:rFonts w:ascii="Calibri" w:hAnsi="Calibri" w:eastAsia="Calibri"/>
          <w:b w:val="0"/>
          <w:i w:val="0"/>
          <w:sz w:val="22"/>
        </w:rPr>
        <w:t>Frontend wiring of core flows (login/create account, shipments, True Cost, inventory paths).</w:t>
      </w:r>
    </w:p>
    <w:p>
      <w:pPr>
        <w:pStyle w:val="ListBullet"/>
        <w:spacing w:after="80"/>
      </w:pPr>
      <w:r>
        <w:rPr>
          <w:rFonts w:ascii="Calibri" w:hAnsi="Calibri" w:eastAsia="Calibri"/>
          <w:b w:val="0"/>
          <w:i w:val="0"/>
          <w:sz w:val="22"/>
        </w:rPr>
        <w:t>Evaluation scenarios, CSV demo samples, oracles, and most design/literature drafting as lead author.</w:t>
      </w:r>
    </w:p>
    <w:p>
      <w:pPr>
        <w:pStyle w:val="ListBullet"/>
        <w:spacing w:after="80"/>
      </w:pPr>
      <w:r>
        <w:rPr>
          <w:rFonts w:ascii="Calibri" w:hAnsi="Calibri" w:eastAsia="Calibri"/>
          <w:b w:val="0"/>
          <w:i w:val="0"/>
          <w:sz w:val="22"/>
        </w:rPr>
        <w:t>Viva Word pack and how-to / demo data documents.</w:t>
      </w:r>
    </w:p>
    <w:p>
      <w:pPr>
        <w:pStyle w:val="ListBullet"/>
        <w:spacing w:after="80"/>
      </w:pPr>
      <w:r>
        <w:rPr>
          <w:rFonts w:ascii="Calibri" w:hAnsi="Calibri" w:eastAsia="Calibri"/>
          <w:b w:val="0"/>
          <w:i w:val="0"/>
          <w:sz w:val="22"/>
        </w:rPr>
        <w:t>Majority of git commits under Nixon Shibuchi (including work still pending commit at report time).</w:t>
      </w:r>
    </w:p>
    <w:p>
      <w:pPr>
        <w:pStyle w:val="Heading1"/>
      </w:pPr>
      <w:r>
        <w:rPr>
          <w:rFonts w:ascii="Calibri" w:hAnsi="Calibri" w:eastAsia="Calibri"/>
          <w:b/>
          <w:i w:val="0"/>
          <w:sz w:val="32"/>
        </w:rPr>
        <w:t>5. Musonda Katongo — co-design &amp; targeted implementation</w:t>
      </w:r>
    </w:p>
    <w:p>
      <w:pPr>
        <w:spacing w:after="160" w:before="0"/>
      </w:pPr>
      <w:r>
        <w:rPr>
          <w:rFonts w:ascii="Calibri" w:hAnsi="Calibri" w:eastAsia="Calibri"/>
          <w:b w:val="0"/>
          <w:i w:val="0"/>
          <w:sz w:val="22"/>
        </w:rPr>
        <w:t>Musonda’s contribution is not “secondary thinking” — design ownership was joint. In addition:</w:t>
      </w:r>
    </w:p>
    <w:p>
      <w:pPr>
        <w:pStyle w:val="ListBullet"/>
        <w:spacing w:after="80"/>
      </w:pPr>
      <w:r>
        <w:rPr>
          <w:rFonts w:ascii="Calibri" w:hAnsi="Calibri" w:eastAsia="Calibri"/>
          <w:b w:val="0"/>
          <w:i w:val="0"/>
          <w:sz w:val="22"/>
        </w:rPr>
        <w:t>Joint design partner for architecture, UI direction, and technology decisions before and during build.</w:t>
      </w:r>
    </w:p>
    <w:p>
      <w:pPr>
        <w:pStyle w:val="ListBullet"/>
        <w:spacing w:after="80"/>
      </w:pPr>
      <w:r>
        <w:rPr>
          <w:rFonts w:ascii="Calibri" w:hAnsi="Calibri" w:eastAsia="Calibri"/>
          <w:b w:val="0"/>
          <w:i w:val="0"/>
          <w:sz w:val="22"/>
        </w:rPr>
        <w:t>Reviewer on literature drafts (related work, gap statement, sources).</w:t>
      </w:r>
    </w:p>
    <w:p>
      <w:pPr>
        <w:pStyle w:val="ListBullet"/>
        <w:spacing w:after="80"/>
      </w:pPr>
      <w:r>
        <w:rPr>
          <w:rFonts w:ascii="Calibri" w:hAnsi="Calibri" w:eastAsia="Calibri"/>
          <w:b w:val="0"/>
          <w:i w:val="0"/>
          <w:sz w:val="22"/>
        </w:rPr>
        <w:t>Implementation contribution pushed under Musonda Katongo’s account: UI redesign and True Cost workflow updates (commit on the shared repository).</w:t>
      </w:r>
    </w:p>
    <w:p>
      <w:pPr>
        <w:pStyle w:val="ListBullet"/>
        <w:spacing w:after="80"/>
      </w:pPr>
      <w:r>
        <w:rPr>
          <w:rFonts w:ascii="Calibri" w:hAnsi="Calibri" w:eastAsia="Calibri"/>
          <w:b w:val="0"/>
          <w:i w:val="0"/>
          <w:sz w:val="22"/>
        </w:rPr>
        <w:t>Viva role: drive the live demo (screen walkthrough) while Nixon covers problem, formulas, and evaluation — or swap if preferred; agree once and stick to it.</w:t>
      </w:r>
    </w:p>
    <w:p>
      <w:pPr>
        <w:pStyle w:val="Heading1"/>
      </w:pPr>
      <w:r>
        <w:rPr>
          <w:rFonts w:ascii="Calibri" w:hAnsi="Calibri" w:eastAsia="Calibri"/>
          <w:b/>
          <w:i w:val="0"/>
          <w:sz w:val="32"/>
        </w:rPr>
        <w:t>6. Suggested report / declaration wording</w:t>
      </w:r>
    </w:p>
    <w:p>
      <w:pPr>
        <w:spacing w:after="160" w:before="0"/>
      </w:pPr>
      <w:r>
        <w:rPr>
          <w:rFonts w:ascii="Calibri" w:hAnsi="Calibri" w:eastAsia="Calibri"/>
          <w:b w:val="0"/>
          <w:i/>
          <w:sz w:val="22"/>
        </w:rPr>
        <w:t>You can paste or adapt this into the project report contribution / declaration section:</w:t>
      </w:r>
    </w:p>
    <w:p>
      <w:pPr>
        <w:spacing w:after="160" w:before="0"/>
      </w:pPr>
      <w:r>
        <w:rPr>
          <w:rFonts w:ascii="Calibri" w:hAnsi="Calibri" w:eastAsia="Calibri"/>
          <w:b w:val="0"/>
          <w:i w:val="0"/>
          <w:sz w:val="22"/>
        </w:rPr>
        <w:t>“Tranz-Algo was developed jointly by Nixon Shibuchi and Musonda Katongo. Requirements, architecture, technology choices, data design, and costing rules were decided collaboratively before implementation. Nixon led the majority of software implementation (backend, costing engine, frontend integration, evaluation artefacts, and documentation). Musonda co-owned the design process, reviewed literature outputs, and contributed UI and True Cost workflow implementation. Both members share ownership of the system design and can explain the full solution in the viva.”</w:t>
      </w:r>
    </w:p>
    <w:p>
      <w:pPr>
        <w:pStyle w:val="Heading1"/>
      </w:pPr>
      <w:r>
        <w:rPr>
          <w:rFonts w:ascii="Calibri" w:hAnsi="Calibri" w:eastAsia="Calibri"/>
          <w:b/>
          <w:i w:val="0"/>
          <w:sz w:val="32"/>
        </w:rPr>
        <w:t>7. Suggested viva speaking split</w:t>
      </w:r>
    </w:p>
    <w:p>
      <w:pPr>
        <w:pStyle w:val="ListBullet"/>
        <w:spacing w:after="80"/>
      </w:pPr>
      <w:r>
        <w:rPr>
          <w:rFonts w:ascii="Calibri" w:hAnsi="Calibri" w:eastAsia="Calibri"/>
          <w:b/>
          <w:i w:val="0"/>
          <w:sz w:val="22"/>
        </w:rPr>
        <w:t xml:space="preserve">Nixon: </w:t>
      </w:r>
      <w:r>
        <w:rPr>
          <w:rFonts w:ascii="Calibri" w:hAnsi="Calibri" w:eastAsia="Calibri"/>
          <w:b w:val="0"/>
          <w:i w:val="0"/>
          <w:sz w:val="22"/>
        </w:rPr>
        <w:t>Problem, gap, formulas, evaluation numbers, stack change justification.</w:t>
      </w:r>
    </w:p>
    <w:p>
      <w:pPr>
        <w:pStyle w:val="ListBullet"/>
        <w:spacing w:after="80"/>
      </w:pPr>
      <w:r>
        <w:rPr>
          <w:rFonts w:ascii="Calibri" w:hAnsi="Calibri" w:eastAsia="Calibri"/>
          <w:b/>
          <w:i w:val="0"/>
          <w:sz w:val="22"/>
        </w:rPr>
        <w:t xml:space="preserve">Musonda: </w:t>
      </w:r>
      <w:r>
        <w:rPr>
          <w:rFonts w:ascii="Calibri" w:hAnsi="Calibri" w:eastAsia="Calibri"/>
          <w:b w:val="0"/>
          <w:i w:val="0"/>
          <w:sz w:val="22"/>
        </w:rPr>
        <w:t>Live demo (create shipment → True Cost → commit → Cost history → stock).</w:t>
      </w:r>
    </w:p>
    <w:p>
      <w:pPr>
        <w:pStyle w:val="ListBullet"/>
        <w:spacing w:after="80"/>
      </w:pPr>
      <w:r>
        <w:rPr>
          <w:rFonts w:ascii="Calibri" w:hAnsi="Calibri" w:eastAsia="Calibri"/>
          <w:b/>
          <w:i w:val="0"/>
          <w:sz w:val="22"/>
        </w:rPr>
        <w:t xml:space="preserve">Either: </w:t>
      </w:r>
      <w:r>
        <w:rPr>
          <w:rFonts w:ascii="Calibri" w:hAnsi="Calibri" w:eastAsia="Calibri"/>
          <w:b w:val="0"/>
          <w:i w:val="0"/>
          <w:sz w:val="22"/>
        </w:rPr>
        <w:t>Architecture overview, dual modes “why”, Postgres story, limitations / next steps.</w:t>
      </w:r>
    </w:p>
    <w:p>
      <w:pPr>
        <w:pStyle w:val="Heading1"/>
      </w:pPr>
      <w:r>
        <w:rPr>
          <w:rFonts w:ascii="Calibri" w:hAnsi="Calibri" w:eastAsia="Calibri"/>
          <w:b/>
          <w:i w:val="0"/>
          <w:sz w:val="32"/>
        </w:rPr>
        <w:t>8. Honesty note for the panel</w:t>
      </w:r>
    </w:p>
    <w:p>
      <w:pPr>
        <w:spacing w:after="160" w:before="0"/>
      </w:pPr>
      <w:r>
        <w:rPr>
          <w:rFonts w:ascii="Calibri" w:hAnsi="Calibri" w:eastAsia="Calibri"/>
          <w:b w:val="0"/>
          <w:i w:val="0"/>
          <w:sz w:val="22"/>
        </w:rPr>
        <w:t>If asked “who wrote the code?”, answer plainly: most implementation is Nixon’s; design was joint; Musonda also shipped UI / True Cost workflow code. Do not invent equal line-count if that is not true — examiners care more that both understand the system and that the split is credible.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