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8"/>
        </w:rPr>
        <w:t>THE UNIVERSITY OF ZAMBIA</w:t>
      </w:r>
    </w:p>
    <w:p>
      <w:pPr>
        <w:spacing w:after="40"/>
        <w:jc w:val="center"/>
      </w:pPr>
      <w:r>
        <w:rPr>
          <w:rFonts w:ascii="Times New Roman" w:hAnsi="Times New Roman" w:eastAsia="Times New Roman"/>
          <w:b/>
          <w:sz w:val="24"/>
        </w:rPr>
        <w:t>SCHOOL OF NATURAL AND APPLIED SCIENCES</w:t>
      </w:r>
    </w:p>
    <w:p>
      <w:pPr>
        <w:spacing w:after="280"/>
        <w:jc w:val="center"/>
      </w:pPr>
      <w:r>
        <w:rPr>
          <w:rFonts w:ascii="Times New Roman" w:hAnsi="Times New Roman" w:eastAsia="Times New Roman"/>
          <w:b/>
          <w:sz w:val="24"/>
        </w:rPr>
        <w:t>DEPARTMENT OF COMPUTING AND INFORMATICS</w:t>
      </w:r>
    </w:p>
    <w:p>
      <w:pPr>
        <w:spacing w:after="120"/>
        <w:jc w:val="center"/>
      </w:pPr>
      <w:r>
        <w:rPr>
          <w:rFonts w:ascii="Times New Roman" w:hAnsi="Times New Roman" w:eastAsia="Times New Roman"/>
          <w:b/>
          <w:sz w:val="26"/>
        </w:rPr>
        <w:t>Final Year Project Proposal (Revised Plan)</w:t>
      </w:r>
    </w:p>
    <w:p>
      <w:pPr>
        <w:spacing w:after="320"/>
        <w:jc w:val="center"/>
      </w:pPr>
      <w:r>
        <w:rPr>
          <w:rFonts w:ascii="Times New Roman" w:hAnsi="Times New Roman" w:eastAsia="Times New Roman"/>
          <w:b w:val="0"/>
          <w:sz w:val="24"/>
        </w:rPr>
        <w:t>Academic Year 2026</w:t>
      </w:r>
    </w:p>
    <w:p>
      <w:pPr>
        <w:spacing w:after="80"/>
        <w:jc w:val="center"/>
      </w:pPr>
      <w:r>
        <w:rPr>
          <w:rFonts w:ascii="Times New Roman" w:hAnsi="Times New Roman" w:eastAsia="Times New Roman"/>
          <w:b/>
          <w:sz w:val="24"/>
        </w:rPr>
        <w:t>Project Title:</w:t>
      </w:r>
    </w:p>
    <w:p>
      <w:pPr>
        <w:spacing w:after="40"/>
        <w:jc w:val="center"/>
      </w:pPr>
      <w:r>
        <w:rPr>
          <w:rFonts w:ascii="Times New Roman" w:hAnsi="Times New Roman" w:eastAsia="Times New Roman"/>
          <w:b/>
          <w:sz w:val="24"/>
        </w:rPr>
        <w:t>Tranz-Algo: An Explainable Landed-Cost Inventory Orchestration</w:t>
      </w:r>
    </w:p>
    <w:p>
      <w:pPr>
        <w:spacing w:after="280"/>
        <w:jc w:val="center"/>
      </w:pPr>
      <w:r>
        <w:rPr>
          <w:rFonts w:ascii="Times New Roman" w:hAnsi="Times New Roman" w:eastAsia="Times New Roman"/>
          <w:b/>
          <w:sz w:val="24"/>
        </w:rPr>
        <w:t>System with Margin-Guard Price Suggestion for Import-Dependent SMEs</w:t>
      </w:r>
    </w:p>
    <w:p>
      <w:pPr>
        <w:spacing w:after="40"/>
      </w:pPr>
      <w:r>
        <w:rPr>
          <w:rFonts w:ascii="Times New Roman" w:hAnsi="Times New Roman" w:eastAsia="Times New Roman"/>
          <w:b/>
          <w:sz w:val="24"/>
        </w:rPr>
        <w:t xml:space="preserve">Student Name: </w:t>
      </w:r>
      <w:r>
        <w:rPr>
          <w:rFonts w:ascii="Times New Roman" w:hAnsi="Times New Roman" w:eastAsia="Times New Roman"/>
          <w:b w:val="0"/>
          <w:sz w:val="24"/>
        </w:rPr>
        <w:t>Nixon Shibuchi</w:t>
      </w:r>
    </w:p>
    <w:p>
      <w:pPr>
        <w:spacing w:after="40"/>
      </w:pPr>
      <w:r>
        <w:rPr>
          <w:rFonts w:ascii="Times New Roman" w:hAnsi="Times New Roman" w:eastAsia="Times New Roman"/>
          <w:b/>
          <w:sz w:val="24"/>
        </w:rPr>
        <w:t xml:space="preserve">Computer Number: </w:t>
      </w:r>
      <w:r>
        <w:rPr>
          <w:rFonts w:ascii="Times New Roman" w:hAnsi="Times New Roman" w:eastAsia="Times New Roman"/>
          <w:b w:val="0"/>
          <w:sz w:val="24"/>
        </w:rPr>
        <w:t>2021437361</w:t>
      </w:r>
    </w:p>
    <w:p>
      <w:pPr>
        <w:spacing w:after="40"/>
      </w:pPr>
      <w:r>
        <w:rPr>
          <w:rFonts w:ascii="Times New Roman" w:hAnsi="Times New Roman" w:eastAsia="Times New Roman"/>
          <w:b/>
          <w:sz w:val="24"/>
        </w:rPr>
        <w:t xml:space="preserve">Supervisor: </w:t>
      </w:r>
      <w:r>
        <w:rPr>
          <w:rFonts w:ascii="Times New Roman" w:hAnsi="Times New Roman" w:eastAsia="Times New Roman"/>
          <w:b w:val="0"/>
          <w:sz w:val="24"/>
        </w:rPr>
        <w:t>Mrs. Leena Kumar</w:t>
      </w:r>
    </w:p>
    <w:p>
      <w:pPr>
        <w:spacing w:after="40"/>
      </w:pPr>
      <w:r>
        <w:rPr>
          <w:rFonts w:ascii="Times New Roman" w:hAnsi="Times New Roman" w:eastAsia="Times New Roman"/>
          <w:b/>
          <w:sz w:val="24"/>
        </w:rPr>
        <w:t xml:space="preserve">Department: </w:t>
      </w:r>
      <w:r>
        <w:rPr>
          <w:rFonts w:ascii="Times New Roman" w:hAnsi="Times New Roman" w:eastAsia="Times New Roman"/>
          <w:b w:val="0"/>
          <w:sz w:val="24"/>
        </w:rPr>
        <w:t>Computing and Informatics</w:t>
      </w:r>
    </w:p>
    <w:p>
      <w:pPr>
        <w:spacing w:after="240"/>
      </w:pPr>
      <w:r>
        <w:rPr>
          <w:rFonts w:ascii="Times New Roman" w:hAnsi="Times New Roman" w:eastAsia="Times New Roman"/>
          <w:b/>
          <w:sz w:val="24"/>
        </w:rPr>
        <w:t xml:space="preserve">Document Type: </w:t>
      </w:r>
      <w:r>
        <w:rPr>
          <w:rFonts w:ascii="Times New Roman" w:hAnsi="Times New Roman" w:eastAsia="Times New Roman"/>
          <w:b w:val="0"/>
          <w:sz w:val="24"/>
        </w:rPr>
        <w:t>Improved Final-Year Project Plan (Core idea preserved; academic depth and uniqueness strengthened)</w:t>
      </w:r>
    </w:p>
    <w:p>
      <w:pPr>
        <w:spacing w:before="240" w:after="120"/>
      </w:pPr>
      <w:r>
        <w:rPr>
          <w:rFonts w:ascii="Times New Roman" w:hAnsi="Times New Roman" w:eastAsia="Times New Roman"/>
          <w:b/>
          <w:sz w:val="26"/>
        </w:rPr>
        <w:t>1. Introduction</w:t>
      </w:r>
    </w:p>
    <w:p>
      <w:pPr>
        <w:spacing w:after="120" w:line="360" w:lineRule="auto"/>
        <w:ind w:firstLine="720"/>
        <w:jc w:val="both"/>
      </w:pPr>
      <w:r>
        <w:rPr>
          <w:rFonts w:ascii="Times New Roman" w:hAnsi="Times New Roman" w:eastAsia="Times New Roman"/>
          <w:b w:val="0"/>
          <w:sz w:val="24"/>
        </w:rPr>
        <w:t>International trade remains a major pathway for economic growth, especially for retailers who source goods abroad and sell them locally. In Zambia and similar markets, many small-to-medium enterprises (SMEs) import products in shipment batches, then convert foreign invoices into local selling prices. The difficulty is not only inventory tracking; it is recovering the true cost of each item after currency conversion, shared freight, customs duty, and import VAT have been applied.</w:t>
      </w:r>
    </w:p>
    <w:p>
      <w:pPr>
        <w:spacing w:after="120" w:line="360" w:lineRule="auto"/>
        <w:ind w:firstLine="720"/>
        <w:jc w:val="both"/>
      </w:pPr>
      <w:r>
        <w:rPr>
          <w:rFonts w:ascii="Times New Roman" w:hAnsi="Times New Roman" w:eastAsia="Times New Roman"/>
          <w:b w:val="0"/>
          <w:sz w:val="24"/>
        </w:rPr>
        <w:t>The original Tranz-Algo proposal correctly identified this "True Cost" problem: invisible losses caused by inaccurate landed-cost calculation, currency volatility, and uncertain retail pricing. This revised plan preserves that core idea—inventory orchestration, automated landed-cost computation, and algorithmic price suggestion—while strengthening the project as a final-year Computing and Informatics contribution. The upgrade focuses on explainability, dual cost-entry modes (Auto FX vs Already-Local), decision support under exchange-rate drift, multi-method cost allocation comparison, and a measurable evaluation against the spreadsheet practices SMEs already use.</w:t>
      </w:r>
    </w:p>
    <w:p>
      <w:pPr>
        <w:spacing w:before="240" w:after="120"/>
      </w:pPr>
      <w:r>
        <w:rPr>
          <w:rFonts w:ascii="Times New Roman" w:hAnsi="Times New Roman" w:eastAsia="Times New Roman"/>
          <w:b/>
          <w:sz w:val="24"/>
        </w:rPr>
        <w:t>1.1 Motivation and Why a Revised Plan Is Needed</w:t>
      </w:r>
    </w:p>
    <w:p>
      <w:pPr>
        <w:spacing w:after="120" w:line="360" w:lineRule="auto"/>
        <w:ind w:firstLine="720"/>
        <w:jc w:val="both"/>
      </w:pPr>
      <w:r>
        <w:rPr>
          <w:rFonts w:ascii="Times New Roman" w:hAnsi="Times New Roman" w:eastAsia="Times New Roman"/>
          <w:b w:val="0"/>
          <w:sz w:val="24"/>
        </w:rPr>
        <w:t>Generic inventory and POS systems exist widely, and many student projects stop at CRUD stock management plus a simple markup formula. Such systems are useful, but they are rarely distinctive and often look like clones of commercial tools. Tranz-Algo becomes a stronger final-year project when it treats landed cost as a transparent, auditable decision process rather than a single hidden calculation, and when it can prove that its recommendations protect profit under real FX movement.</w:t>
      </w:r>
    </w:p>
    <w:p>
      <w:pPr>
        <w:spacing w:after="120" w:line="360" w:lineRule="auto"/>
        <w:ind w:firstLine="720"/>
        <w:jc w:val="both"/>
      </w:pPr>
      <w:r>
        <w:rPr>
          <w:rFonts w:ascii="Times New Roman" w:hAnsi="Times New Roman" w:eastAsia="Times New Roman"/>
          <w:b w:val="0"/>
          <w:sz w:val="24"/>
        </w:rPr>
        <w:t>A further practical reality shapes this redesign: many shipping and clearing companies already convert freight and some clearing charges into local currency. A useful system must therefore support both automatic conversion of foreign supplier invoices and direct entry of already-local shipper/agent amounts, instead of assuming one paperwork pattern.</w:t>
      </w:r>
    </w:p>
    <w:p>
      <w:pPr>
        <w:spacing w:before="240" w:after="120"/>
      </w:pPr>
      <w:r>
        <w:rPr>
          <w:rFonts w:ascii="Times New Roman" w:hAnsi="Times New Roman" w:eastAsia="Times New Roman"/>
          <w:b/>
          <w:sz w:val="24"/>
        </w:rPr>
        <w:t>1.2 Problem Statement</w:t>
      </w:r>
    </w:p>
    <w:p>
      <w:pPr>
        <w:spacing w:after="120" w:line="360" w:lineRule="auto"/>
        <w:jc w:val="both"/>
      </w:pPr>
      <w:r>
        <w:rPr>
          <w:rFonts w:ascii="Times New Roman" w:hAnsi="Times New Roman" w:eastAsia="Times New Roman"/>
          <w:b w:val="0"/>
          <w:sz w:val="24"/>
        </w:rPr>
        <w:t>Import-dependent retailers still face four tightly linked problems:</w:t>
      </w:r>
    </w:p>
    <w:p>
      <w:pPr>
        <w:pStyle w:val="ListBullet"/>
        <w:spacing w:after="60" w:line="276" w:lineRule="auto"/>
      </w:pPr>
      <w:r>
        <w:rPr>
          <w:rFonts w:ascii="Times New Roman" w:hAnsi="Times New Roman" w:eastAsia="Times New Roman"/>
          <w:b/>
          <w:sz w:val="24"/>
        </w:rPr>
        <w:t xml:space="preserve">Price inaccuracy: </w:t>
      </w:r>
      <w:r>
        <w:rPr>
          <w:rFonts w:ascii="Times New Roman" w:hAnsi="Times New Roman" w:eastAsia="Times New Roman"/>
          <w:b w:val="0"/>
          <w:sz w:val="24"/>
        </w:rPr>
        <w:t>Manual apportionment of bulk shipping and tax across items produces inconsistent unit costs and silent margin loss.</w:t>
      </w:r>
    </w:p>
    <w:p>
      <w:pPr>
        <w:pStyle w:val="ListBullet"/>
        <w:spacing w:after="60" w:line="276" w:lineRule="auto"/>
      </w:pPr>
      <w:r>
        <w:rPr>
          <w:rFonts w:ascii="Times New Roman" w:hAnsi="Times New Roman" w:eastAsia="Times New Roman"/>
          <w:b/>
          <w:sz w:val="24"/>
        </w:rPr>
        <w:t xml:space="preserve">Currency volatility: </w:t>
      </w:r>
      <w:r>
        <w:rPr>
          <w:rFonts w:ascii="Times New Roman" w:hAnsi="Times New Roman" w:eastAsia="Times New Roman"/>
          <w:b w:val="0"/>
          <w:sz w:val="24"/>
        </w:rPr>
        <w:t>Local prices are set once and rarely revisited when exchange rates move, so yesterday's profitable price becomes today's loss.</w:t>
      </w:r>
    </w:p>
    <w:p>
      <w:pPr>
        <w:pStyle w:val="ListBullet"/>
        <w:spacing w:after="60" w:line="276" w:lineRule="auto"/>
      </w:pPr>
      <w:r>
        <w:rPr>
          <w:rFonts w:ascii="Times New Roman" w:hAnsi="Times New Roman" w:eastAsia="Times New Roman"/>
          <w:b/>
          <w:sz w:val="24"/>
        </w:rPr>
        <w:t xml:space="preserve">Pricing uncertainty: </w:t>
      </w:r>
      <w:r>
        <w:rPr>
          <w:rFonts w:ascii="Times New Roman" w:hAnsi="Times New Roman" w:eastAsia="Times New Roman"/>
          <w:b w:val="0"/>
          <w:sz w:val="24"/>
        </w:rPr>
        <w:t>Owners struggle to choose a retail price that covers landed cost, remains competitive, and preserves a safety margin.</w:t>
      </w:r>
    </w:p>
    <w:p>
      <w:pPr>
        <w:pStyle w:val="ListBullet"/>
        <w:spacing w:after="60" w:line="276" w:lineRule="auto"/>
      </w:pPr>
      <w:r>
        <w:rPr>
          <w:rFonts w:ascii="Times New Roman" w:hAnsi="Times New Roman" w:eastAsia="Times New Roman"/>
          <w:b/>
          <w:sz w:val="24"/>
        </w:rPr>
        <w:t xml:space="preserve">Opaque decision support: </w:t>
      </w:r>
      <w:r>
        <w:rPr>
          <w:rFonts w:ascii="Times New Roman" w:hAnsi="Times New Roman" w:eastAsia="Times New Roman"/>
          <w:b w:val="0"/>
          <w:sz w:val="24"/>
        </w:rPr>
        <w:t>Existing tools often show a final number without explaining allocation choices, so users cannot trust, audit, or defend the result.</w:t>
      </w:r>
    </w:p>
    <w:p>
      <w:pPr>
        <w:spacing w:before="240" w:after="120"/>
      </w:pPr>
      <w:r>
        <w:rPr>
          <w:rFonts w:ascii="Times New Roman" w:hAnsi="Times New Roman" w:eastAsia="Times New Roman"/>
          <w:b/>
          <w:sz w:val="24"/>
        </w:rPr>
        <w:t>1.3 Research Question</w:t>
      </w:r>
    </w:p>
    <w:p>
      <w:pPr>
        <w:spacing w:after="120" w:line="360" w:lineRule="auto"/>
        <w:ind w:firstLine="720"/>
        <w:jc w:val="both"/>
      </w:pPr>
      <w:r>
        <w:rPr>
          <w:rFonts w:ascii="Times New Roman" w:hAnsi="Times New Roman" w:eastAsia="Times New Roman"/>
          <w:b w:val="0"/>
          <w:sz w:val="24"/>
        </w:rPr>
        <w:t>How can an explainable, low-cost software system improve the accuracy and confidence of landed-cost recovery and retail price setting for import-dependent SMEs, compared with manual spreadsheet-based pricing under changing exchange rates and mixed shipper paperwork?</w:t>
      </w:r>
    </w:p>
    <w:p>
      <w:pPr>
        <w:spacing w:before="240" w:after="120"/>
      </w:pPr>
      <w:r>
        <w:rPr>
          <w:rFonts w:ascii="Times New Roman" w:hAnsi="Times New Roman" w:eastAsia="Times New Roman"/>
          <w:b/>
          <w:sz w:val="24"/>
        </w:rPr>
        <w:t>1.4 Project Aim</w:t>
      </w:r>
    </w:p>
    <w:p>
      <w:pPr>
        <w:spacing w:after="120" w:line="360" w:lineRule="auto"/>
        <w:ind w:firstLine="720"/>
        <w:jc w:val="both"/>
      </w:pPr>
      <w:r>
        <w:rPr>
          <w:rFonts w:ascii="Times New Roman" w:hAnsi="Times New Roman" w:eastAsia="Times New Roman"/>
          <w:b w:val="0"/>
          <w:sz w:val="24"/>
        </w:rPr>
        <w:t>To develop Tranz-Algo, an intelligent inventory orchestration system that manages shipment-batch inventory, automates and explains landed-cost allocation under dual cost-entry modes (Auto FX and Already-Local), suggests retail prices with configurable safety margins, and guards those margins when exchange rates drift—using only free and open technologies.</w:t>
      </w:r>
    </w:p>
    <w:p>
      <w:pPr>
        <w:spacing w:before="240" w:after="120"/>
      </w:pPr>
      <w:r>
        <w:rPr>
          <w:rFonts w:ascii="Times New Roman" w:hAnsi="Times New Roman" w:eastAsia="Times New Roman"/>
          <w:b/>
          <w:sz w:val="24"/>
        </w:rPr>
        <w:t>1.5 Objectives</w:t>
      </w:r>
    </w:p>
    <w:p>
      <w:pPr>
        <w:spacing w:after="120" w:line="360" w:lineRule="auto"/>
        <w:jc w:val="both"/>
      </w:pPr>
      <w:r>
        <w:rPr>
          <w:rFonts w:ascii="Times New Roman" w:hAnsi="Times New Roman" w:eastAsia="Times New Roman"/>
          <w:b w:val="0"/>
          <w:sz w:val="24"/>
        </w:rPr>
        <w:t>The project will:</w:t>
      </w:r>
    </w:p>
    <w:p>
      <w:pPr>
        <w:pStyle w:val="ListBullet"/>
        <w:spacing w:after="60" w:line="276" w:lineRule="auto"/>
      </w:pPr>
      <w:r>
        <w:rPr>
          <w:rFonts w:ascii="Times New Roman" w:hAnsi="Times New Roman" w:eastAsia="Times New Roman"/>
          <w:b w:val="0"/>
          <w:sz w:val="24"/>
        </w:rPr>
        <w:t>Design a dual cost-entry engine: Auto FX mode (free real-time/near real-time exchange-rate API with cached "last known good" fallback) and Already-Local mode (accept shipper/agent-converted amounts without forcing API conversion).</w:t>
      </w:r>
    </w:p>
    <w:p>
      <w:pPr>
        <w:pStyle w:val="ListBullet"/>
        <w:spacing w:after="60" w:line="276" w:lineRule="auto"/>
      </w:pPr>
      <w:r>
        <w:rPr>
          <w:rFonts w:ascii="Times New Roman" w:hAnsi="Times New Roman" w:eastAsia="Times New Roman"/>
          <w:b w:val="0"/>
          <w:sz w:val="24"/>
        </w:rPr>
        <w:t>Allow mixed paperwork on one batch where needed (e.g., foreign supplier lines + already-local freight/duty from the shipping company), and record the source of each converted amount in the True-Cost Ledger.</w:t>
      </w:r>
    </w:p>
    <w:p>
      <w:pPr>
        <w:pStyle w:val="ListBullet"/>
        <w:spacing w:after="60" w:line="276" w:lineRule="auto"/>
      </w:pPr>
      <w:r>
        <w:rPr>
          <w:rFonts w:ascii="Times New Roman" w:hAnsi="Times New Roman" w:eastAsia="Times New Roman"/>
          <w:b w:val="0"/>
          <w:sz w:val="24"/>
        </w:rPr>
        <w:t>Implement a multi-method landed-cost allocator that can distribute bulk shipping and related charges by weight, quantity, or invoice value, and compare outcomes side by side.</w:t>
      </w:r>
    </w:p>
    <w:p>
      <w:pPr>
        <w:pStyle w:val="ListBullet"/>
        <w:spacing w:after="60" w:line="276" w:lineRule="auto"/>
      </w:pPr>
      <w:r>
        <w:rPr>
          <w:rFonts w:ascii="Times New Roman" w:hAnsi="Times New Roman" w:eastAsia="Times New Roman"/>
          <w:b w:val="0"/>
          <w:sz w:val="24"/>
        </w:rPr>
        <w:t>Compute landed cost using the core formula adapted to entry mode: Auto FX uses (Foreign Price x Exchange Rate) + Shipping Share + Customs Duty + Import VAT; Already-Local uses user-entered local product, shipping, duty, and VAT amounts, then allocates shared charges to items.</w:t>
      </w:r>
    </w:p>
    <w:p>
      <w:pPr>
        <w:pStyle w:val="ListBullet"/>
        <w:spacing w:after="60" w:line="276" w:lineRule="auto"/>
      </w:pPr>
      <w:r>
        <w:rPr>
          <w:rFonts w:ascii="Times New Roman" w:hAnsi="Times New Roman" w:eastAsia="Times New Roman"/>
          <w:b w:val="0"/>
          <w:sz w:val="24"/>
        </w:rPr>
        <w:t>Develop Margin-Guard Price Suggestion that recommends retail price as Landed Cost x (1 + Profit Margin) and monitors post-pricing FX drift against a configurable safety threshold.</w:t>
      </w:r>
    </w:p>
    <w:p>
      <w:pPr>
        <w:pStyle w:val="ListBullet"/>
        <w:spacing w:after="60" w:line="276" w:lineRule="auto"/>
      </w:pPr>
      <w:r>
        <w:rPr>
          <w:rFonts w:ascii="Times New Roman" w:hAnsi="Times New Roman" w:eastAsia="Times New Roman"/>
          <w:b w:val="0"/>
          <w:sz w:val="24"/>
        </w:rPr>
        <w:t>Build a shipment-batch inventory module for product registration, stock tracking, batch-level cost history, and inventory reporting.</w:t>
      </w:r>
    </w:p>
    <w:p>
      <w:pPr>
        <w:pStyle w:val="ListBullet"/>
        <w:spacing w:after="60" w:line="276" w:lineRule="auto"/>
      </w:pPr>
      <w:r>
        <w:rPr>
          <w:rFonts w:ascii="Times New Roman" w:hAnsi="Times New Roman" w:eastAsia="Times New Roman"/>
          <w:b w:val="0"/>
          <w:sz w:val="24"/>
        </w:rPr>
        <w:t>Produce an explainable True-Cost Ledger for each batch so every suggested price can be traced to inputs, entry mode, allocation method, and rate/paperwork source used.</w:t>
      </w:r>
    </w:p>
    <w:p>
      <w:pPr>
        <w:pStyle w:val="ListBullet"/>
        <w:spacing w:after="60" w:line="276" w:lineRule="auto"/>
      </w:pPr>
      <w:r>
        <w:rPr>
          <w:rFonts w:ascii="Times New Roman" w:hAnsi="Times New Roman" w:eastAsia="Times New Roman"/>
          <w:b w:val="0"/>
          <w:sz w:val="24"/>
        </w:rPr>
        <w:t>Create a secure administrative dashboard for shipments, pricing decisions, margin alerts, and financial summaries.</w:t>
      </w:r>
    </w:p>
    <w:p>
      <w:pPr>
        <w:pStyle w:val="ListBullet"/>
        <w:spacing w:after="60" w:line="276" w:lineRule="auto"/>
      </w:pPr>
      <w:r>
        <w:rPr>
          <w:rFonts w:ascii="Times New Roman" w:hAnsi="Times New Roman" w:eastAsia="Times New Roman"/>
          <w:b w:val="0"/>
          <w:sz w:val="24"/>
        </w:rPr>
        <w:t>Evaluate the system against a controlled spreadsheet baseline using accuracy, time-to-price, and margin-protection metrics, covering both entry modes.</w:t>
      </w:r>
    </w:p>
    <w:p>
      <w:pPr>
        <w:spacing w:before="240" w:after="120"/>
      </w:pPr>
      <w:r>
        <w:rPr>
          <w:rFonts w:ascii="Times New Roman" w:hAnsi="Times New Roman" w:eastAsia="Times New Roman"/>
          <w:b/>
          <w:sz w:val="24"/>
        </w:rPr>
        <w:t>1.6 Scope of the Project</w:t>
      </w:r>
    </w:p>
    <w:p>
      <w:pPr>
        <w:spacing w:after="120" w:line="360" w:lineRule="auto"/>
        <w:jc w:val="both"/>
      </w:pPr>
      <w:r>
        <w:rPr>
          <w:rFonts w:ascii="Times New Roman" w:hAnsi="Times New Roman" w:eastAsia="Times New Roman"/>
          <w:b w:val="0"/>
          <w:sz w:val="24"/>
        </w:rPr>
        <w:t>In Scope:</w:t>
      </w:r>
    </w:p>
    <w:p>
      <w:pPr>
        <w:pStyle w:val="ListBullet"/>
        <w:spacing w:after="60" w:line="276" w:lineRule="auto"/>
      </w:pPr>
      <w:r>
        <w:rPr>
          <w:rFonts w:ascii="Times New Roman" w:hAnsi="Times New Roman" w:eastAsia="Times New Roman"/>
          <w:b w:val="0"/>
          <w:sz w:val="24"/>
        </w:rPr>
        <w:t>Dual cost-entry modes: Auto FX (multi-currency conversion with free FX API + cached fallback) and Already-Local (paste shipper/clearing-agent converted totals).</w:t>
      </w:r>
    </w:p>
    <w:p>
      <w:pPr>
        <w:pStyle w:val="ListBullet"/>
        <w:spacing w:after="60" w:line="276" w:lineRule="auto"/>
      </w:pPr>
      <w:r>
        <w:rPr>
          <w:rFonts w:ascii="Times New Roman" w:hAnsi="Times New Roman" w:eastAsia="Times New Roman"/>
          <w:b w:val="0"/>
          <w:sz w:val="24"/>
        </w:rPr>
        <w:t>Landed-cost engine with configurable duty/VAT profiles suitable for Zambia-oriented import scenarios (manual rule templates, not paid customs APIs).</w:t>
      </w:r>
    </w:p>
    <w:p>
      <w:pPr>
        <w:pStyle w:val="ListBullet"/>
        <w:spacing w:after="60" w:line="276" w:lineRule="auto"/>
      </w:pPr>
      <w:r>
        <w:rPr>
          <w:rFonts w:ascii="Times New Roman" w:hAnsi="Times New Roman" w:eastAsia="Times New Roman"/>
          <w:b w:val="0"/>
          <w:sz w:val="24"/>
        </w:rPr>
        <w:t>Allocation comparator (weight / quantity / value) with user-selected final method.</w:t>
      </w:r>
    </w:p>
    <w:p>
      <w:pPr>
        <w:pStyle w:val="ListBullet"/>
        <w:spacing w:after="60" w:line="276" w:lineRule="auto"/>
      </w:pPr>
      <w:r>
        <w:rPr>
          <w:rFonts w:ascii="Times New Roman" w:hAnsi="Times New Roman" w:eastAsia="Times New Roman"/>
          <w:b w:val="0"/>
          <w:sz w:val="24"/>
        </w:rPr>
        <w:t>Optional but first-class Price Suggestion Engine with Margin-Guard alerts.</w:t>
      </w:r>
    </w:p>
    <w:p>
      <w:pPr>
        <w:pStyle w:val="ListBullet"/>
        <w:spacing w:after="60" w:line="276" w:lineRule="auto"/>
      </w:pPr>
      <w:r>
        <w:rPr>
          <w:rFonts w:ascii="Times New Roman" w:hAnsi="Times New Roman" w:eastAsia="Times New Roman"/>
          <w:b w:val="0"/>
          <w:sz w:val="24"/>
        </w:rPr>
        <w:t>Inventory management: products, stock levels, shipment batches, and reporting.</w:t>
      </w:r>
    </w:p>
    <w:p>
      <w:pPr>
        <w:pStyle w:val="ListBullet"/>
        <w:spacing w:after="60" w:line="276" w:lineRule="auto"/>
      </w:pPr>
      <w:r>
        <w:rPr>
          <w:rFonts w:ascii="Times New Roman" w:hAnsi="Times New Roman" w:eastAsia="Times New Roman"/>
          <w:b w:val="0"/>
          <w:sz w:val="24"/>
        </w:rPr>
        <w:t>Authentication, role-restricted admin access, and calculation audit history.</w:t>
      </w:r>
    </w:p>
    <w:p>
      <w:pPr>
        <w:pStyle w:val="ListBullet"/>
        <w:spacing w:after="60" w:line="276" w:lineRule="auto"/>
      </w:pPr>
      <w:r>
        <w:rPr>
          <w:rFonts w:ascii="Times New Roman" w:hAnsi="Times New Roman" w:eastAsia="Times New Roman"/>
          <w:b w:val="0"/>
          <w:sz w:val="24"/>
        </w:rPr>
        <w:t>Prototype evaluation with sample import scenarios and (where available) SME walkthrough feedback.</w:t>
      </w:r>
    </w:p>
    <w:p>
      <w:pPr>
        <w:spacing w:after="120" w:line="360" w:lineRule="auto"/>
        <w:jc w:val="both"/>
      </w:pPr>
      <w:r>
        <w:rPr>
          <w:rFonts w:ascii="Times New Roman" w:hAnsi="Times New Roman" w:eastAsia="Times New Roman"/>
          <w:b w:val="0"/>
          <w:sz w:val="24"/>
        </w:rPr>
        <w:t>Out of Scope:</w:t>
      </w:r>
    </w:p>
    <w:p>
      <w:pPr>
        <w:pStyle w:val="ListBullet"/>
        <w:spacing w:after="60" w:line="276" w:lineRule="auto"/>
      </w:pPr>
      <w:r>
        <w:rPr>
          <w:rFonts w:ascii="Times New Roman" w:hAnsi="Times New Roman" w:eastAsia="Times New Roman"/>
          <w:b w:val="0"/>
          <w:sz w:val="24"/>
        </w:rPr>
        <w:t>Actual international shipping, courier booking, or logistics execution.</w:t>
      </w:r>
    </w:p>
    <w:p>
      <w:pPr>
        <w:pStyle w:val="ListBullet"/>
        <w:spacing w:after="60" w:line="276" w:lineRule="auto"/>
      </w:pPr>
      <w:r>
        <w:rPr>
          <w:rFonts w:ascii="Times New Roman" w:hAnsi="Times New Roman" w:eastAsia="Times New Roman"/>
          <w:b w:val="0"/>
          <w:sz w:val="24"/>
        </w:rPr>
        <w:t>Payment gateway / card processing (cash or external POS remains outside the system).</w:t>
      </w:r>
    </w:p>
    <w:p>
      <w:pPr>
        <w:pStyle w:val="ListBullet"/>
        <w:spacing w:after="60" w:line="276" w:lineRule="auto"/>
      </w:pPr>
      <w:r>
        <w:rPr>
          <w:rFonts w:ascii="Times New Roman" w:hAnsi="Times New Roman" w:eastAsia="Times New Roman"/>
          <w:b w:val="0"/>
          <w:sz w:val="24"/>
        </w:rPr>
        <w:t>Fully automated HS-code classification or paid customs brokerage integration.</w:t>
      </w:r>
    </w:p>
    <w:p>
      <w:pPr>
        <w:pStyle w:val="ListBullet"/>
        <w:spacing w:after="60" w:line="276" w:lineRule="auto"/>
      </w:pPr>
      <w:r>
        <w:rPr>
          <w:rFonts w:ascii="Times New Roman" w:hAnsi="Times New Roman" w:eastAsia="Times New Roman"/>
          <w:b w:val="0"/>
          <w:sz w:val="24"/>
        </w:rPr>
        <w:t>Marketplace selling storefront for end customers (this is an admin decision-support system).</w:t>
      </w:r>
    </w:p>
    <w:p>
      <w:pPr>
        <w:spacing w:before="240" w:after="120"/>
      </w:pPr>
      <w:r>
        <w:rPr>
          <w:rFonts w:ascii="Times New Roman" w:hAnsi="Times New Roman" w:eastAsia="Times New Roman"/>
          <w:b/>
          <w:sz w:val="26"/>
        </w:rPr>
        <w:t>2. What Makes This Project Unique (Without Changing the Core Idea)</w:t>
      </w:r>
    </w:p>
    <w:p>
      <w:pPr>
        <w:spacing w:after="120" w:line="360" w:lineRule="auto"/>
        <w:ind w:firstLine="720"/>
        <w:jc w:val="both"/>
      </w:pPr>
      <w:r>
        <w:rPr>
          <w:rFonts w:ascii="Times New Roman" w:hAnsi="Times New Roman" w:eastAsia="Times New Roman"/>
          <w:b w:val="0"/>
          <w:sz w:val="24"/>
        </w:rPr>
        <w:t>The commercial and academic landscape already contains inventory apps, POS systems, and ERP modules. Tranz-Algo does not attempt to replace SAP, Odoo, or Shopify. Instead, it occupies a narrower and academically clearer niche: explainable landed-cost orchestration for import batches, with dual cost-entry modes that match real SME paperwork, algorithmic price suggestion, and FX margin protection for SMEs who currently rely on spreadsheets.</w:t>
      </w:r>
    </w:p>
    <w:p>
      <w:pPr>
        <w:spacing w:after="120" w:line="360" w:lineRule="auto"/>
        <w:jc w:val="both"/>
      </w:pPr>
      <w:r>
        <w:rPr>
          <w:rFonts w:ascii="Times New Roman" w:hAnsi="Times New Roman" w:eastAsia="Times New Roman"/>
          <w:b w:val="0"/>
          <w:sz w:val="24"/>
        </w:rPr>
        <w:t>Differentiating features relative to typical similar projects:</w:t>
      </w:r>
    </w:p>
    <w:p>
      <w:pPr>
        <w:pStyle w:val="ListBullet"/>
        <w:spacing w:after="60" w:line="276" w:lineRule="auto"/>
      </w:pPr>
      <w:r>
        <w:rPr>
          <w:rFonts w:ascii="Times New Roman" w:hAnsi="Times New Roman" w:eastAsia="Times New Roman"/>
          <w:b/>
          <w:sz w:val="24"/>
        </w:rPr>
        <w:t xml:space="preserve">Shipment-batch-first design: </w:t>
      </w:r>
      <w:r>
        <w:rPr>
          <w:rFonts w:ascii="Times New Roman" w:hAnsi="Times New Roman" w:eastAsia="Times New Roman"/>
          <w:b w:val="0"/>
          <w:sz w:val="24"/>
        </w:rPr>
        <w:t>Most student inventory systems only track stock. Tranz-Algo makes the shipment invoice the unit of truth and allocates shared costs down to items.</w:t>
      </w:r>
    </w:p>
    <w:p>
      <w:pPr>
        <w:pStyle w:val="ListBullet"/>
        <w:spacing w:after="60" w:line="276" w:lineRule="auto"/>
      </w:pPr>
      <w:r>
        <w:rPr>
          <w:rFonts w:ascii="Times New Roman" w:hAnsi="Times New Roman" w:eastAsia="Times New Roman"/>
          <w:b/>
          <w:sz w:val="24"/>
        </w:rPr>
        <w:t xml:space="preserve">Dual cost-entry modes: </w:t>
      </w:r>
      <w:r>
        <w:rPr>
          <w:rFonts w:ascii="Times New Roman" w:hAnsi="Times New Roman" w:eastAsia="Times New Roman"/>
          <w:b w:val="0"/>
          <w:sz w:val="24"/>
        </w:rPr>
        <w:t>Auto FX converts foreign supplier prices via API when needed; Already-Local accepts amounts already converted by shipping/clearing companies—so the system fits real import paperwork instead of forcing one workflow.</w:t>
      </w:r>
    </w:p>
    <w:p>
      <w:pPr>
        <w:pStyle w:val="ListBullet"/>
        <w:spacing w:after="60" w:line="276" w:lineRule="auto"/>
      </w:pPr>
      <w:r>
        <w:rPr>
          <w:rFonts w:ascii="Times New Roman" w:hAnsi="Times New Roman" w:eastAsia="Times New Roman"/>
          <w:b/>
          <w:sz w:val="24"/>
        </w:rPr>
        <w:t xml:space="preserve">Allocation Comparator: </w:t>
      </w:r>
      <w:r>
        <w:rPr>
          <w:rFonts w:ascii="Times New Roman" w:hAnsi="Times New Roman" w:eastAsia="Times New Roman"/>
          <w:b w:val="0"/>
          <w:sz w:val="24"/>
        </w:rPr>
        <w:t>Instead of one hidden formula, users can inspect how weight-based vs quantity-based vs value-based allocation changes unit cost and final suggested price.</w:t>
      </w:r>
    </w:p>
    <w:p>
      <w:pPr>
        <w:pStyle w:val="ListBullet"/>
        <w:spacing w:after="60" w:line="276" w:lineRule="auto"/>
      </w:pPr>
      <w:r>
        <w:rPr>
          <w:rFonts w:ascii="Times New Roman" w:hAnsi="Times New Roman" w:eastAsia="Times New Roman"/>
          <w:b/>
          <w:sz w:val="24"/>
        </w:rPr>
        <w:t xml:space="preserve">Margin-Guard: </w:t>
      </w:r>
      <w:r>
        <w:rPr>
          <w:rFonts w:ascii="Times New Roman" w:hAnsi="Times New Roman" w:eastAsia="Times New Roman"/>
          <w:b w:val="0"/>
          <w:sz w:val="24"/>
        </w:rPr>
        <w:t>Beyond "Suggested RP = Landed Cost x (1 + PM)", the system re-checks viability when FX moves and warns if the active retail price falls toward or below breakeven.</w:t>
      </w:r>
    </w:p>
    <w:p>
      <w:pPr>
        <w:pStyle w:val="ListBullet"/>
        <w:spacing w:after="60" w:line="276" w:lineRule="auto"/>
      </w:pPr>
      <w:r>
        <w:rPr>
          <w:rFonts w:ascii="Times New Roman" w:hAnsi="Times New Roman" w:eastAsia="Times New Roman"/>
          <w:b/>
          <w:sz w:val="24"/>
        </w:rPr>
        <w:t xml:space="preserve">True-Cost Ledger: </w:t>
      </w:r>
      <w:r>
        <w:rPr>
          <w:rFonts w:ascii="Times New Roman" w:hAnsi="Times New Roman" w:eastAsia="Times New Roman"/>
          <w:b w:val="0"/>
          <w:sz w:val="24"/>
        </w:rPr>
        <w:t>Every recommendation stores inputs, entry mode, rate timestamp or paperwork source, allocation method, and intermediate shares—supporting trust, debugging, and academic verification.</w:t>
      </w:r>
    </w:p>
    <w:p>
      <w:pPr>
        <w:pStyle w:val="ListBullet"/>
        <w:spacing w:after="60" w:line="276" w:lineRule="auto"/>
      </w:pPr>
      <w:r>
        <w:rPr>
          <w:rFonts w:ascii="Times New Roman" w:hAnsi="Times New Roman" w:eastAsia="Times New Roman"/>
          <w:b/>
          <w:sz w:val="24"/>
        </w:rPr>
        <w:t xml:space="preserve">Localised cost profiles: </w:t>
      </w:r>
      <w:r>
        <w:rPr>
          <w:rFonts w:ascii="Times New Roman" w:hAnsi="Times New Roman" w:eastAsia="Times New Roman"/>
          <w:b w:val="0"/>
          <w:sz w:val="24"/>
        </w:rPr>
        <w:t>Configurable local duty/VAT templates reflect import practice without requiring expensive third-party trade platforms.</w:t>
      </w:r>
    </w:p>
    <w:p>
      <w:pPr>
        <w:pStyle w:val="ListBullet"/>
        <w:spacing w:after="60" w:line="276" w:lineRule="auto"/>
      </w:pPr>
      <w:r>
        <w:rPr>
          <w:rFonts w:ascii="Times New Roman" w:hAnsi="Times New Roman" w:eastAsia="Times New Roman"/>
          <w:b/>
          <w:sz w:val="24"/>
        </w:rPr>
        <w:t xml:space="preserve">Empirical evaluation: </w:t>
      </w:r>
      <w:r>
        <w:rPr>
          <w:rFonts w:ascii="Times New Roman" w:hAnsi="Times New Roman" w:eastAsia="Times New Roman"/>
          <w:b w:val="0"/>
          <w:sz w:val="24"/>
        </w:rPr>
        <w:t>Success is measured against a spreadsheet baseline, which turns the project from "another inventory app" into an evaluated decision-support intervention.</w:t>
      </w:r>
    </w:p>
    <w:p>
      <w:pPr>
        <w:pStyle w:val="ListBullet"/>
        <w:spacing w:after="60" w:line="276" w:lineRule="auto"/>
      </w:pPr>
      <w:r>
        <w:rPr>
          <w:rFonts w:ascii="Times New Roman" w:hAnsi="Times New Roman" w:eastAsia="Times New Roman"/>
          <w:b/>
          <w:sz w:val="24"/>
        </w:rPr>
        <w:t xml:space="preserve">Zero paid-licence target: </w:t>
      </w:r>
      <w:r>
        <w:rPr>
          <w:rFonts w:ascii="Times New Roman" w:hAnsi="Times New Roman" w:eastAsia="Times New Roman"/>
          <w:b w:val="0"/>
          <w:sz w:val="24"/>
        </w:rPr>
        <w:t>Frankfurter/open FX sources, FastAPI, PostgreSQL (Supabase free tier), and React/Expo keep the entire build within student budgets.</w:t>
      </w:r>
    </w:p>
    <w:p>
      <w:pPr>
        <w:spacing w:before="240" w:after="120"/>
      </w:pPr>
      <w:r>
        <w:rPr>
          <w:rFonts w:ascii="Times New Roman" w:hAnsi="Times New Roman" w:eastAsia="Times New Roman"/>
          <w:b/>
          <w:sz w:val="26"/>
        </w:rPr>
        <w:t>3. Literature Overview (Strengthened Focus)</w:t>
      </w:r>
    </w:p>
    <w:p>
      <w:pPr>
        <w:spacing w:after="120" w:line="360" w:lineRule="auto"/>
        <w:ind w:firstLine="720"/>
        <w:jc w:val="both"/>
      </w:pPr>
      <w:r>
        <w:rPr>
          <w:rFonts w:ascii="Times New Roman" w:hAnsi="Times New Roman" w:eastAsia="Times New Roman"/>
          <w:b w:val="0"/>
          <w:sz w:val="24"/>
        </w:rPr>
        <w:t>Prior work shows that digital trading platforms and inventory systems can improve commercial coordination, often using web frameworks and relational databases for users, products, and sales. Supply-chain research also emphasises hybrid forecasting and the sensitivity of margins to logistics and currency effects. What remains under-served for many SMEs is not generic stock control, but mathematically transparent recovery of landed cost and continuous protection of retail margins after prices are set.</w:t>
      </w:r>
    </w:p>
    <w:p>
      <w:pPr>
        <w:spacing w:after="120" w:line="360" w:lineRule="auto"/>
        <w:ind w:firstLine="720"/>
        <w:jc w:val="both"/>
      </w:pPr>
      <w:r>
        <w:rPr>
          <w:rFonts w:ascii="Times New Roman" w:hAnsi="Times New Roman" w:eastAsia="Times New Roman"/>
          <w:b w:val="0"/>
          <w:sz w:val="24"/>
        </w:rPr>
        <w:t>Tranz-Algo therefore builds on inventory-management and global-logistics concepts, while contributing a practical software artefact that combines: (i) deterministic landed-cost mathematics, (ii) dual Auto FX / Already-Local entry aligned to real shipping paperwork, (iii) multi-method allocation transparency, and (iv) FX-aware price suggestion. This positions the project between classical MIS inventory modules and decision-support systems for import pricing.</w:t>
      </w:r>
    </w:p>
    <w:p>
      <w:pPr>
        <w:spacing w:after="120" w:line="360" w:lineRule="auto"/>
        <w:ind w:firstLine="720"/>
        <w:jc w:val="both"/>
      </w:pPr>
      <w:r>
        <w:rPr>
          <w:rFonts w:ascii="Times New Roman" w:hAnsi="Times New Roman" w:eastAsia="Times New Roman"/>
          <w:b w:val="0"/>
          <w:sz w:val="24"/>
        </w:rPr>
        <w:t>During literature review, the student will specifically contrast Tranz-Algo with: open-source ERP inventory modules, spreadsheet landed-cost templates, and common retail POS systems. The goal is to document functional overlap and then prove uniqueness through explainability, dual-mode cost entry, Margin-Guard behaviour, and evaluation results—not through marketing claims alone.</w:t>
      </w:r>
    </w:p>
    <w:p>
      <w:pPr>
        <w:spacing w:before="240" w:after="120"/>
      </w:pPr>
      <w:r>
        <w:rPr>
          <w:rFonts w:ascii="Times New Roman" w:hAnsi="Times New Roman" w:eastAsia="Times New Roman"/>
          <w:b/>
          <w:sz w:val="26"/>
        </w:rPr>
        <w:t>4. Proposed Methodology</w:t>
      </w:r>
    </w:p>
    <w:p>
      <w:pPr>
        <w:spacing w:after="120" w:line="360" w:lineRule="auto"/>
        <w:ind w:firstLine="720"/>
        <w:jc w:val="both"/>
      </w:pPr>
      <w:r>
        <w:rPr>
          <w:rFonts w:ascii="Times New Roman" w:hAnsi="Times New Roman" w:eastAsia="Times New Roman"/>
          <w:b w:val="0"/>
          <w:sz w:val="24"/>
        </w:rPr>
        <w:t>The original proposal used a pure Waterfall model. This revised plan keeps Waterfall's clarity for financial requirements and formula freeze, but adds short verification loops after design and after each major module. In practice: requirements and algorithms are specified first; implementation proceeds module by module; each module is unit-tested before integration. This reduces late discovery of logic errors in cost allocation—the highest academic risk in the project.</w:t>
      </w:r>
    </w:p>
    <w:p>
      <w:pPr>
        <w:spacing w:before="240" w:after="120"/>
      </w:pPr>
      <w:r>
        <w:rPr>
          <w:rFonts w:ascii="Times New Roman" w:hAnsi="Times New Roman" w:eastAsia="Times New Roman"/>
          <w:b/>
          <w:sz w:val="24"/>
        </w:rPr>
        <w:t>4.1 System Architecture</w:t>
      </w:r>
    </w:p>
    <w:p>
      <w:pPr>
        <w:spacing w:after="120" w:line="360" w:lineRule="auto"/>
        <w:ind w:firstLine="720"/>
        <w:jc w:val="both"/>
      </w:pPr>
      <w:r>
        <w:rPr>
          <w:rFonts w:ascii="Times New Roman" w:hAnsi="Times New Roman" w:eastAsia="Times New Roman"/>
          <w:b w:val="0"/>
          <w:sz w:val="24"/>
        </w:rPr>
        <w:t>Three-tier architecture: Python FastAPI backend; PostgreSQL database hosted on the Supabase free tier; React (web admin dashboard) as the primary interface for demonstration and evaluation. React Native/Expo remains an optional extension for mobile stock checks, but the graded prototype prioritises a web dashboard because landed-cost explanation, ledgers, and reports are denser on larger screens and faster to validate academically.</w:t>
      </w:r>
    </w:p>
    <w:p>
      <w:pPr>
        <w:spacing w:before="240" w:after="120"/>
      </w:pPr>
      <w:r>
        <w:rPr>
          <w:rFonts w:ascii="Times New Roman" w:hAnsi="Times New Roman" w:eastAsia="Times New Roman"/>
          <w:b/>
          <w:sz w:val="24"/>
        </w:rPr>
        <w:t>4.2 Dual Cost-Entry Modes</w:t>
      </w:r>
    </w:p>
    <w:p>
      <w:pPr>
        <w:spacing w:after="120" w:line="360" w:lineRule="auto"/>
        <w:ind w:firstLine="720"/>
        <w:jc w:val="both"/>
      </w:pPr>
      <w:r>
        <w:rPr>
          <w:rFonts w:ascii="Times New Roman" w:hAnsi="Times New Roman" w:eastAsia="Times New Roman"/>
          <w:b w:val="0"/>
          <w:sz w:val="24"/>
        </w:rPr>
        <w:t>In practice, shipping and clearing companies often present freight and some clearing charges already converted into local currency. Supplier product invoices, however, may still be foreign-denominated—or the whole pack of paperwork may already be local. Tranz-Algo therefore supports two explicit entry modes on each shipment batch:</w:t>
      </w:r>
    </w:p>
    <w:p>
      <w:pPr>
        <w:pStyle w:val="ListBullet"/>
        <w:spacing w:after="60" w:line="276" w:lineRule="auto"/>
      </w:pPr>
      <w:r>
        <w:rPr>
          <w:rFonts w:ascii="Times New Roman" w:hAnsi="Times New Roman" w:eastAsia="Times New Roman"/>
          <w:b/>
          <w:sz w:val="24"/>
        </w:rPr>
        <w:t xml:space="preserve">Auto FX mode: </w:t>
      </w:r>
      <w:r>
        <w:rPr>
          <w:rFonts w:ascii="Times New Roman" w:hAnsi="Times New Roman" w:eastAsia="Times New Roman"/>
          <w:b w:val="0"/>
          <w:sz w:val="24"/>
        </w:rPr>
        <w:t>The user enters foreign product prices (and optionally foreign freight). The system fetches or caches an exchange rate, converts to local currency, then applies shipping-share allocation, duty, and import VAT according to the selected profiles/method.</w:t>
      </w:r>
    </w:p>
    <w:p>
      <w:pPr>
        <w:pStyle w:val="ListBullet"/>
        <w:spacing w:after="60" w:line="276" w:lineRule="auto"/>
      </w:pPr>
      <w:r>
        <w:rPr>
          <w:rFonts w:ascii="Times New Roman" w:hAnsi="Times New Roman" w:eastAsia="Times New Roman"/>
          <w:b/>
          <w:sz w:val="24"/>
        </w:rPr>
        <w:t xml:space="preserve">Already-Local mode: </w:t>
      </w:r>
      <w:r>
        <w:rPr>
          <w:rFonts w:ascii="Times New Roman" w:hAnsi="Times New Roman" w:eastAsia="Times New Roman"/>
          <w:b w:val="0"/>
          <w:sz w:val="24"/>
        </w:rPr>
        <w:t>The user pastes amounts already converted by the shipper, clearing agent, or bank (product total and/or freight/duty/VAT in local currency). The system skips forced API conversion for those fields, records the paperwork source, allocates any shared local charges across items, and continues to price suggestion and the True-Cost Ledger.</w:t>
      </w:r>
    </w:p>
    <w:p>
      <w:pPr>
        <w:spacing w:after="120" w:line="360" w:lineRule="auto"/>
        <w:ind w:firstLine="720"/>
        <w:jc w:val="both"/>
      </w:pPr>
      <w:r>
        <w:rPr>
          <w:rFonts w:ascii="Times New Roman" w:hAnsi="Times New Roman" w:eastAsia="Times New Roman"/>
          <w:b w:val="0"/>
          <w:sz w:val="24"/>
        </w:rPr>
        <w:t>Both modes still produce per-item landed cost, suggested retail price, and an auditable ledger. Mode choice is stored with the batch so examiners and users can see exactly how the true cost was obtained. Mixed paperwork is allowed where needed (for example, Auto FX on supplier lines and Already-Local on shipper freight/duty).</w:t>
      </w:r>
    </w:p>
    <w:p>
      <w:pPr>
        <w:spacing w:before="240" w:after="120"/>
      </w:pPr>
      <w:r>
        <w:rPr>
          <w:rFonts w:ascii="Times New Roman" w:hAnsi="Times New Roman" w:eastAsia="Times New Roman"/>
          <w:b/>
          <w:sz w:val="24"/>
        </w:rPr>
        <w:t>4.3 Core Algorithms</w:t>
      </w:r>
    </w:p>
    <w:p>
      <w:pPr>
        <w:spacing w:after="120" w:line="360" w:lineRule="auto"/>
        <w:jc w:val="both"/>
      </w:pPr>
      <w:r>
        <w:rPr>
          <w:rFonts w:ascii="Times New Roman" w:hAnsi="Times New Roman" w:eastAsia="Times New Roman"/>
          <w:b w:val="0"/>
          <w:sz w:val="24"/>
        </w:rPr>
        <w:t>Landed Cost (per item):</w:t>
      </w:r>
    </w:p>
    <w:p>
      <w:pPr>
        <w:spacing w:after="120" w:line="360" w:lineRule="auto"/>
        <w:jc w:val="both"/>
      </w:pPr>
      <w:r>
        <w:rPr>
          <w:rFonts w:ascii="Times New Roman" w:hAnsi="Times New Roman" w:eastAsia="Times New Roman"/>
          <w:b w:val="0"/>
          <w:sz w:val="24"/>
        </w:rPr>
        <w:t>Auto FX: LandedCost_i = (ForeignPrice_i x ExchangeRate) + ShippingShare_i + Duty_i + ImportVAT_i</w:t>
      </w:r>
    </w:p>
    <w:p>
      <w:pPr>
        <w:spacing w:after="120" w:line="360" w:lineRule="auto"/>
        <w:jc w:val="both"/>
      </w:pPr>
      <w:r>
        <w:rPr>
          <w:rFonts w:ascii="Times New Roman" w:hAnsi="Times New Roman" w:eastAsia="Times New Roman"/>
          <w:b w:val="0"/>
          <w:sz w:val="24"/>
        </w:rPr>
        <w:t>Already-Local: LandedCost_i = LocalProductCost_i + ShippingShare_i + Duty_i + ImportVAT_i (where LocalProductCost_i and/or charge totals may come from shipper/agent paperwork; shared charges are still allocated).</w:t>
      </w:r>
    </w:p>
    <w:p>
      <w:pPr>
        <w:spacing w:after="120" w:line="360" w:lineRule="auto"/>
        <w:jc w:val="both"/>
      </w:pPr>
      <w:r>
        <w:rPr>
          <w:rFonts w:ascii="Times New Roman" w:hAnsi="Times New Roman" w:eastAsia="Times New Roman"/>
          <w:b w:val="0"/>
          <w:sz w:val="24"/>
        </w:rPr>
        <w:t>Shipping share alternatives (Allocation Comparator):</w:t>
      </w:r>
    </w:p>
    <w:p>
      <w:pPr>
        <w:pStyle w:val="ListBullet"/>
        <w:spacing w:after="60" w:line="276" w:lineRule="auto"/>
      </w:pPr>
      <w:r>
        <w:rPr>
          <w:rFonts w:ascii="Times New Roman" w:hAnsi="Times New Roman" w:eastAsia="Times New Roman"/>
          <w:b/>
          <w:sz w:val="24"/>
        </w:rPr>
        <w:t xml:space="preserve">Weight-based: </w:t>
      </w:r>
      <w:r>
        <w:rPr>
          <w:rFonts w:ascii="Times New Roman" w:hAnsi="Times New Roman" w:eastAsia="Times New Roman"/>
          <w:b w:val="0"/>
          <w:sz w:val="24"/>
        </w:rPr>
        <w:t>(weight_i / total_weight) x shipping_invoice</w:t>
      </w:r>
    </w:p>
    <w:p>
      <w:pPr>
        <w:pStyle w:val="ListBullet"/>
        <w:spacing w:after="60" w:line="276" w:lineRule="auto"/>
      </w:pPr>
      <w:r>
        <w:rPr>
          <w:rFonts w:ascii="Times New Roman" w:hAnsi="Times New Roman" w:eastAsia="Times New Roman"/>
          <w:b/>
          <w:sz w:val="24"/>
        </w:rPr>
        <w:t xml:space="preserve">Quantity-based: </w:t>
      </w:r>
      <w:r>
        <w:rPr>
          <w:rFonts w:ascii="Times New Roman" w:hAnsi="Times New Roman" w:eastAsia="Times New Roman"/>
          <w:b w:val="0"/>
          <w:sz w:val="24"/>
        </w:rPr>
        <w:t>(qty_i / total_qty) x shipping_invoice</w:t>
      </w:r>
    </w:p>
    <w:p>
      <w:pPr>
        <w:pStyle w:val="ListBullet"/>
        <w:spacing w:after="60" w:line="276" w:lineRule="auto"/>
      </w:pPr>
      <w:r>
        <w:rPr>
          <w:rFonts w:ascii="Times New Roman" w:hAnsi="Times New Roman" w:eastAsia="Times New Roman"/>
          <w:b/>
          <w:sz w:val="24"/>
        </w:rPr>
        <w:t xml:space="preserve">Value-based: </w:t>
      </w:r>
      <w:r>
        <w:rPr>
          <w:rFonts w:ascii="Times New Roman" w:hAnsi="Times New Roman" w:eastAsia="Times New Roman"/>
          <w:b w:val="0"/>
          <w:sz w:val="24"/>
        </w:rPr>
        <w:t>(line_value_i / total_line_value) x shipping_invoice</w:t>
      </w:r>
    </w:p>
    <w:p>
      <w:pPr>
        <w:spacing w:after="120" w:line="360" w:lineRule="auto"/>
        <w:jc w:val="both"/>
      </w:pPr>
      <w:r>
        <w:rPr>
          <w:rFonts w:ascii="Times New Roman" w:hAnsi="Times New Roman" w:eastAsia="Times New Roman"/>
          <w:b w:val="0"/>
          <w:sz w:val="24"/>
        </w:rPr>
        <w:t>Price Suggestion:</w:t>
      </w:r>
    </w:p>
    <w:p>
      <w:pPr>
        <w:spacing w:after="120" w:line="360" w:lineRule="auto"/>
        <w:jc w:val="both"/>
      </w:pPr>
      <w:r>
        <w:rPr>
          <w:rFonts w:ascii="Times New Roman" w:hAnsi="Times New Roman" w:eastAsia="Times New Roman"/>
          <w:b w:val="0"/>
          <w:sz w:val="24"/>
        </w:rPr>
        <w:t>SuggestedRP_i = LandedCost_i x (1 + ProfitMargin)</w:t>
      </w:r>
    </w:p>
    <w:p>
      <w:pPr>
        <w:spacing w:after="120" w:line="360" w:lineRule="auto"/>
        <w:jc w:val="both"/>
      </w:pPr>
      <w:r>
        <w:rPr>
          <w:rFonts w:ascii="Times New Roman" w:hAnsi="Times New Roman" w:eastAsia="Times New Roman"/>
          <w:b w:val="0"/>
          <w:sz w:val="24"/>
        </w:rPr>
        <w:t>Margin-Guard check (after rate refresh):</w:t>
      </w:r>
    </w:p>
    <w:p>
      <w:pPr>
        <w:spacing w:after="120" w:line="360" w:lineRule="auto"/>
        <w:jc w:val="both"/>
      </w:pPr>
      <w:r>
        <w:rPr>
          <w:rFonts w:ascii="Times New Roman" w:hAnsi="Times New Roman" w:eastAsia="Times New Roman"/>
          <w:b w:val="0"/>
          <w:sz w:val="24"/>
        </w:rPr>
        <w:t>If ActiveRetailPrice_i &lt; RecomputedLandedCost_i x (1 + SafetyMargin), raise a margin-erosion alert for that SKU/batch. In Already-Local batches, Margin-Guard can still run when the user refreshes a reference market rate or records a new comparable batch rate.</w:t>
      </w:r>
    </w:p>
    <w:p>
      <w:pPr>
        <w:spacing w:before="240" w:after="120"/>
      </w:pPr>
      <w:r>
        <w:rPr>
          <w:rFonts w:ascii="Times New Roman" w:hAnsi="Times New Roman" w:eastAsia="Times New Roman"/>
          <w:b/>
          <w:sz w:val="24"/>
        </w:rPr>
        <w:t>4.4 Tools and Technologies (Free-to-Build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Layer</w:t>
            </w:r>
          </w:p>
        </w:tc>
        <w:tc>
          <w:tcPr>
            <w:tcW w:type="dxa" w:w="3120"/>
          </w:tcPr>
          <w:p>
            <w:r/>
            <w:r>
              <w:rPr>
                <w:rFonts w:ascii="Times New Roman" w:hAnsi="Times New Roman" w:eastAsia="Times New Roman"/>
                <w:b/>
                <w:sz w:val="22"/>
              </w:rPr>
              <w:t>Choice</w:t>
            </w:r>
          </w:p>
        </w:tc>
        <w:tc>
          <w:tcPr>
            <w:tcW w:type="dxa" w:w="3120"/>
          </w:tcPr>
          <w:p>
            <w:r/>
            <w:r>
              <w:rPr>
                <w:rFonts w:ascii="Times New Roman" w:hAnsi="Times New Roman" w:eastAsia="Times New Roman"/>
                <w:b/>
                <w:sz w:val="22"/>
              </w:rPr>
              <w:t>Cost rationale</w:t>
            </w:r>
          </w:p>
        </w:tc>
      </w:tr>
      <w:tr>
        <w:tc>
          <w:tcPr>
            <w:tcW w:type="dxa" w:w="3120"/>
          </w:tcPr>
          <w:p>
            <w:r/>
            <w:r>
              <w:rPr>
                <w:rFonts w:ascii="Times New Roman" w:hAnsi="Times New Roman" w:eastAsia="Times New Roman"/>
                <w:b w:val="0"/>
                <w:sz w:val="22"/>
              </w:rPr>
              <w:t>Language</w:t>
            </w:r>
          </w:p>
        </w:tc>
        <w:tc>
          <w:tcPr>
            <w:tcW w:type="dxa" w:w="3120"/>
          </w:tcPr>
          <w:p>
            <w:r/>
            <w:r>
              <w:rPr>
                <w:rFonts w:ascii="Times New Roman" w:hAnsi="Times New Roman" w:eastAsia="Times New Roman"/>
                <w:b w:val="0"/>
                <w:sz w:val="22"/>
              </w:rPr>
              <w:t>Python 3</w:t>
            </w:r>
          </w:p>
        </w:tc>
        <w:tc>
          <w:tcPr>
            <w:tcW w:type="dxa" w:w="3120"/>
          </w:tcPr>
          <w:p>
            <w:r/>
            <w:r>
              <w:rPr>
                <w:rFonts w:ascii="Times New Roman" w:hAnsi="Times New Roman" w:eastAsia="Times New Roman"/>
                <w:b w:val="0"/>
                <w:sz w:val="22"/>
              </w:rPr>
              <w:t>Free, strong for numeric logic and APIs</w:t>
            </w:r>
          </w:p>
        </w:tc>
      </w:tr>
      <w:tr>
        <w:tc>
          <w:tcPr>
            <w:tcW w:type="dxa" w:w="3120"/>
          </w:tcPr>
          <w:p>
            <w:r/>
            <w:r>
              <w:rPr>
                <w:rFonts w:ascii="Times New Roman" w:hAnsi="Times New Roman" w:eastAsia="Times New Roman"/>
                <w:b w:val="0"/>
                <w:sz w:val="22"/>
              </w:rPr>
              <w:t>Backend</w:t>
            </w:r>
          </w:p>
        </w:tc>
        <w:tc>
          <w:tcPr>
            <w:tcW w:type="dxa" w:w="3120"/>
          </w:tcPr>
          <w:p>
            <w:r/>
            <w:r>
              <w:rPr>
                <w:rFonts w:ascii="Times New Roman" w:hAnsi="Times New Roman" w:eastAsia="Times New Roman"/>
                <w:b w:val="0"/>
                <w:sz w:val="22"/>
              </w:rPr>
              <w:t>FastAPI + Uvicorn</w:t>
            </w:r>
          </w:p>
        </w:tc>
        <w:tc>
          <w:tcPr>
            <w:tcW w:type="dxa" w:w="3120"/>
          </w:tcPr>
          <w:p>
            <w:r/>
            <w:r>
              <w:rPr>
                <w:rFonts w:ascii="Times New Roman" w:hAnsi="Times New Roman" w:eastAsia="Times New Roman"/>
                <w:b w:val="0"/>
                <w:sz w:val="22"/>
              </w:rPr>
              <w:t>Free, OpenAPI docs for examiners</w:t>
            </w:r>
          </w:p>
        </w:tc>
      </w:tr>
      <w:tr>
        <w:tc>
          <w:tcPr>
            <w:tcW w:type="dxa" w:w="3120"/>
          </w:tcPr>
          <w:p>
            <w:r/>
            <w:r>
              <w:rPr>
                <w:rFonts w:ascii="Times New Roman" w:hAnsi="Times New Roman" w:eastAsia="Times New Roman"/>
                <w:b w:val="0"/>
                <w:sz w:val="22"/>
              </w:rPr>
              <w:t>Database</w:t>
            </w:r>
          </w:p>
        </w:tc>
        <w:tc>
          <w:tcPr>
            <w:tcW w:type="dxa" w:w="3120"/>
          </w:tcPr>
          <w:p>
            <w:r/>
            <w:r>
              <w:rPr>
                <w:rFonts w:ascii="Times New Roman" w:hAnsi="Times New Roman" w:eastAsia="Times New Roman"/>
                <w:b w:val="0"/>
                <w:sz w:val="22"/>
              </w:rPr>
              <w:t>PostgreSQL via Supabase free tier</w:t>
            </w:r>
          </w:p>
        </w:tc>
        <w:tc>
          <w:tcPr>
            <w:tcW w:type="dxa" w:w="3120"/>
          </w:tcPr>
          <w:p>
            <w:r/>
            <w:r>
              <w:rPr>
                <w:rFonts w:ascii="Times New Roman" w:hAnsi="Times New Roman" w:eastAsia="Times New Roman"/>
                <w:b w:val="0"/>
                <w:sz w:val="22"/>
              </w:rPr>
              <w:t>No local DB licence cost</w:t>
            </w:r>
          </w:p>
        </w:tc>
      </w:tr>
      <w:tr>
        <w:tc>
          <w:tcPr>
            <w:tcW w:type="dxa" w:w="3120"/>
          </w:tcPr>
          <w:p>
            <w:r/>
            <w:r>
              <w:rPr>
                <w:rFonts w:ascii="Times New Roman" w:hAnsi="Times New Roman" w:eastAsia="Times New Roman"/>
                <w:b w:val="0"/>
                <w:sz w:val="22"/>
              </w:rPr>
              <w:t>Frontend</w:t>
            </w:r>
          </w:p>
        </w:tc>
        <w:tc>
          <w:tcPr>
            <w:tcW w:type="dxa" w:w="3120"/>
          </w:tcPr>
          <w:p>
            <w:r/>
            <w:r>
              <w:rPr>
                <w:rFonts w:ascii="Times New Roman" w:hAnsi="Times New Roman" w:eastAsia="Times New Roman"/>
                <w:b w:val="0"/>
                <w:sz w:val="22"/>
              </w:rPr>
              <w:t>React (Vite) web admin</w:t>
            </w:r>
          </w:p>
        </w:tc>
        <w:tc>
          <w:tcPr>
            <w:tcW w:type="dxa" w:w="3120"/>
          </w:tcPr>
          <w:p>
            <w:r/>
            <w:r>
              <w:rPr>
                <w:rFonts w:ascii="Times New Roman" w:hAnsi="Times New Roman" w:eastAsia="Times New Roman"/>
                <w:b w:val="0"/>
                <w:sz w:val="22"/>
              </w:rPr>
              <w:t>Free; clear academic demos</w:t>
            </w:r>
          </w:p>
        </w:tc>
      </w:tr>
      <w:tr>
        <w:tc>
          <w:tcPr>
            <w:tcW w:type="dxa" w:w="3120"/>
          </w:tcPr>
          <w:p>
            <w:r/>
            <w:r>
              <w:rPr>
                <w:rFonts w:ascii="Times New Roman" w:hAnsi="Times New Roman" w:eastAsia="Times New Roman"/>
                <w:b w:val="0"/>
                <w:sz w:val="22"/>
              </w:rPr>
              <w:t>Optional mobile</w:t>
            </w:r>
          </w:p>
        </w:tc>
        <w:tc>
          <w:tcPr>
            <w:tcW w:type="dxa" w:w="3120"/>
          </w:tcPr>
          <w:p>
            <w:r/>
            <w:r>
              <w:rPr>
                <w:rFonts w:ascii="Times New Roman" w:hAnsi="Times New Roman" w:eastAsia="Times New Roman"/>
                <w:b w:val="0"/>
                <w:sz w:val="22"/>
              </w:rPr>
              <w:t>React Native / Expo</w:t>
            </w:r>
          </w:p>
        </w:tc>
        <w:tc>
          <w:tcPr>
            <w:tcW w:type="dxa" w:w="3120"/>
          </w:tcPr>
          <w:p>
            <w:r/>
            <w:r>
              <w:rPr>
                <w:rFonts w:ascii="Times New Roman" w:hAnsi="Times New Roman" w:eastAsia="Times New Roman"/>
                <w:b w:val="0"/>
                <w:sz w:val="22"/>
              </w:rPr>
              <w:t>Free tier; secondary deliverable</w:t>
            </w:r>
          </w:p>
        </w:tc>
      </w:tr>
      <w:tr>
        <w:tc>
          <w:tcPr>
            <w:tcW w:type="dxa" w:w="3120"/>
          </w:tcPr>
          <w:p>
            <w:r/>
            <w:r>
              <w:rPr>
                <w:rFonts w:ascii="Times New Roman" w:hAnsi="Times New Roman" w:eastAsia="Times New Roman"/>
                <w:b w:val="0"/>
                <w:sz w:val="22"/>
              </w:rPr>
              <w:t>FX data</w:t>
            </w:r>
          </w:p>
        </w:tc>
        <w:tc>
          <w:tcPr>
            <w:tcW w:type="dxa" w:w="3120"/>
          </w:tcPr>
          <w:p>
            <w:r/>
            <w:r>
              <w:rPr>
                <w:rFonts w:ascii="Times New Roman" w:hAnsi="Times New Roman" w:eastAsia="Times New Roman"/>
                <w:b w:val="0"/>
                <w:sz w:val="22"/>
              </w:rPr>
              <w:t>Frankfurter.app or equivalent free FX API</w:t>
            </w:r>
          </w:p>
        </w:tc>
        <w:tc>
          <w:tcPr>
            <w:tcW w:type="dxa" w:w="3120"/>
          </w:tcPr>
          <w:p>
            <w:r/>
            <w:r>
              <w:rPr>
                <w:rFonts w:ascii="Times New Roman" w:hAnsi="Times New Roman" w:eastAsia="Times New Roman"/>
                <w:b w:val="0"/>
                <w:sz w:val="22"/>
              </w:rPr>
              <w:t>Used in Auto FX mode; optional in Already-Local</w:t>
            </w:r>
          </w:p>
        </w:tc>
      </w:tr>
      <w:tr>
        <w:tc>
          <w:tcPr>
            <w:tcW w:type="dxa" w:w="3120"/>
          </w:tcPr>
          <w:p>
            <w:r/>
            <w:r>
              <w:rPr>
                <w:rFonts w:ascii="Times New Roman" w:hAnsi="Times New Roman" w:eastAsia="Times New Roman"/>
                <w:b w:val="0"/>
                <w:sz w:val="22"/>
              </w:rPr>
              <w:t>Auth</w:t>
            </w:r>
          </w:p>
        </w:tc>
        <w:tc>
          <w:tcPr>
            <w:tcW w:type="dxa" w:w="3120"/>
          </w:tcPr>
          <w:p>
            <w:r/>
            <w:r>
              <w:rPr>
                <w:rFonts w:ascii="Times New Roman" w:hAnsi="Times New Roman" w:eastAsia="Times New Roman"/>
                <w:b w:val="0"/>
                <w:sz w:val="22"/>
              </w:rPr>
              <w:t>JWT</w:t>
            </w:r>
          </w:p>
        </w:tc>
        <w:tc>
          <w:tcPr>
            <w:tcW w:type="dxa" w:w="3120"/>
          </w:tcPr>
          <w:p>
            <w:r/>
            <w:r>
              <w:rPr>
                <w:rFonts w:ascii="Times New Roman" w:hAnsi="Times New Roman" w:eastAsia="Times New Roman"/>
                <w:b w:val="0"/>
                <w:sz w:val="22"/>
              </w:rPr>
              <w:t>Standard, free to implement</w:t>
            </w:r>
          </w:p>
        </w:tc>
      </w:tr>
      <w:tr>
        <w:tc>
          <w:tcPr>
            <w:tcW w:type="dxa" w:w="3120"/>
          </w:tcPr>
          <w:p>
            <w:r/>
            <w:r>
              <w:rPr>
                <w:rFonts w:ascii="Times New Roman" w:hAnsi="Times New Roman" w:eastAsia="Times New Roman"/>
                <w:b w:val="0"/>
                <w:sz w:val="22"/>
              </w:rPr>
              <w:t>Testing</w:t>
            </w:r>
          </w:p>
        </w:tc>
        <w:tc>
          <w:tcPr>
            <w:tcW w:type="dxa" w:w="3120"/>
          </w:tcPr>
          <w:p>
            <w:r/>
            <w:r>
              <w:rPr>
                <w:rFonts w:ascii="Times New Roman" w:hAnsi="Times New Roman" w:eastAsia="Times New Roman"/>
                <w:b w:val="0"/>
                <w:sz w:val="22"/>
              </w:rPr>
              <w:t>pytest + manual scenario packs</w:t>
            </w:r>
          </w:p>
        </w:tc>
        <w:tc>
          <w:tcPr>
            <w:tcW w:type="dxa" w:w="3120"/>
          </w:tcPr>
          <w:p>
            <w:r/>
            <w:r>
              <w:rPr>
                <w:rFonts w:ascii="Times New Roman" w:hAnsi="Times New Roman" w:eastAsia="Times New Roman"/>
                <w:b w:val="0"/>
                <w:sz w:val="22"/>
              </w:rPr>
              <w:t>Free verification</w:t>
            </w:r>
          </w:p>
        </w:tc>
      </w:tr>
      <w:tr>
        <w:tc>
          <w:tcPr>
            <w:tcW w:type="dxa" w:w="3120"/>
          </w:tcPr>
          <w:p>
            <w:r/>
            <w:r>
              <w:rPr>
                <w:rFonts w:ascii="Times New Roman" w:hAnsi="Times New Roman" w:eastAsia="Times New Roman"/>
                <w:b w:val="0"/>
                <w:sz w:val="22"/>
              </w:rPr>
              <w:t>Hosting (demo)</w:t>
            </w:r>
          </w:p>
        </w:tc>
        <w:tc>
          <w:tcPr>
            <w:tcW w:type="dxa" w:w="3120"/>
          </w:tcPr>
          <w:p>
            <w:r/>
            <w:r>
              <w:rPr>
                <w:rFonts w:ascii="Times New Roman" w:hAnsi="Times New Roman" w:eastAsia="Times New Roman"/>
                <w:b w:val="0"/>
                <w:sz w:val="22"/>
              </w:rPr>
              <w:t>Local/LAN or free-tier hosting</w:t>
            </w:r>
          </w:p>
        </w:tc>
        <w:tc>
          <w:tcPr>
            <w:tcW w:type="dxa" w:w="3120"/>
          </w:tcPr>
          <w:p>
            <w:r/>
            <w:r>
              <w:rPr>
                <w:rFonts w:ascii="Times New Roman" w:hAnsi="Times New Roman" w:eastAsia="Times New Roman"/>
                <w:b w:val="0"/>
                <w:sz w:val="22"/>
              </w:rPr>
              <w:t>Avoid paid cloud lock-in</w:t>
            </w:r>
          </w:p>
        </w:tc>
      </w:tr>
      <w:tr>
        <w:tc>
          <w:tcPr>
            <w:tcW w:type="dxa" w:w="3120"/>
          </w:tcPr>
          <w:p>
            <w:r/>
            <w:r>
              <w:rPr>
                <w:rFonts w:ascii="Times New Roman" w:hAnsi="Times New Roman" w:eastAsia="Times New Roman"/>
                <w:b w:val="0"/>
                <w:sz w:val="22"/>
              </w:rPr>
              <w:t>IDE</w:t>
            </w:r>
          </w:p>
        </w:tc>
        <w:tc>
          <w:tcPr>
            <w:tcW w:type="dxa" w:w="3120"/>
          </w:tcPr>
          <w:p>
            <w:r/>
            <w:r>
              <w:rPr>
                <w:rFonts w:ascii="Times New Roman" w:hAnsi="Times New Roman" w:eastAsia="Times New Roman"/>
                <w:b w:val="0"/>
                <w:sz w:val="22"/>
              </w:rPr>
              <w:t>VS Code</w:t>
            </w:r>
          </w:p>
        </w:tc>
        <w:tc>
          <w:tcPr>
            <w:tcW w:type="dxa" w:w="3120"/>
          </w:tcPr>
          <w:p>
            <w:r/>
            <w:r>
              <w:rPr>
                <w:rFonts w:ascii="Times New Roman" w:hAnsi="Times New Roman" w:eastAsia="Times New Roman"/>
                <w:b w:val="0"/>
                <w:sz w:val="22"/>
              </w:rPr>
              <w:t>Free</w:t>
            </w:r>
          </w:p>
        </w:tc>
      </w:tr>
    </w:tbl>
    <w:p/>
    <w:p>
      <w:pPr>
        <w:spacing w:before="240" w:after="120"/>
      </w:pPr>
      <w:r>
        <w:rPr>
          <w:rFonts w:ascii="Times New Roman" w:hAnsi="Times New Roman" w:eastAsia="Times New Roman"/>
          <w:b/>
          <w:sz w:val="24"/>
        </w:rPr>
        <w:t>4.5 Ethical and Legal Considerations</w:t>
      </w:r>
    </w:p>
    <w:p>
      <w:pPr>
        <w:pStyle w:val="ListBullet"/>
        <w:spacing w:after="60" w:line="276" w:lineRule="auto"/>
      </w:pPr>
      <w:r>
        <w:rPr>
          <w:rFonts w:ascii="Times New Roman" w:hAnsi="Times New Roman" w:eastAsia="Times New Roman"/>
          <w:b/>
          <w:sz w:val="24"/>
        </w:rPr>
        <w:t xml:space="preserve">Data privacy &amp; security: </w:t>
      </w:r>
      <w:r>
        <w:rPr>
          <w:rFonts w:ascii="Times New Roman" w:hAnsi="Times New Roman" w:eastAsia="Times New Roman"/>
          <w:b w:val="0"/>
          <w:sz w:val="24"/>
        </w:rPr>
        <w:t>Credentials stored using salted hashing; JWT-protected financial endpoints.</w:t>
      </w:r>
    </w:p>
    <w:p>
      <w:pPr>
        <w:pStyle w:val="ListBullet"/>
        <w:spacing w:after="60" w:line="276" w:lineRule="auto"/>
      </w:pPr>
      <w:r>
        <w:rPr>
          <w:rFonts w:ascii="Times New Roman" w:hAnsi="Times New Roman" w:eastAsia="Times New Roman"/>
          <w:b/>
          <w:sz w:val="24"/>
        </w:rPr>
        <w:t xml:space="preserve">Fair use: </w:t>
      </w:r>
      <w:r>
        <w:rPr>
          <w:rFonts w:ascii="Times New Roman" w:hAnsi="Times New Roman" w:eastAsia="Times New Roman"/>
          <w:b w:val="0"/>
          <w:sz w:val="24"/>
        </w:rPr>
        <w:t>No scraping of private competitor catalogues; any market comparison fields are manual user entries.</w:t>
      </w:r>
    </w:p>
    <w:p>
      <w:pPr>
        <w:pStyle w:val="ListBullet"/>
        <w:spacing w:after="60" w:line="276" w:lineRule="auto"/>
      </w:pPr>
      <w:r>
        <w:rPr>
          <w:rFonts w:ascii="Times New Roman" w:hAnsi="Times New Roman" w:eastAsia="Times New Roman"/>
          <w:b/>
          <w:sz w:val="24"/>
        </w:rPr>
        <w:t xml:space="preserve">Decision liability: </w:t>
      </w:r>
      <w:r>
        <w:rPr>
          <w:rFonts w:ascii="Times New Roman" w:hAnsi="Times New Roman" w:eastAsia="Times New Roman"/>
          <w:b w:val="0"/>
          <w:sz w:val="24"/>
        </w:rPr>
        <w:t>System advises; the retailer remains responsible for final selling prices and tax declarations.</w:t>
      </w:r>
    </w:p>
    <w:p>
      <w:pPr>
        <w:pStyle w:val="ListBullet"/>
        <w:spacing w:after="60" w:line="276" w:lineRule="auto"/>
      </w:pPr>
      <w:r>
        <w:rPr>
          <w:rFonts w:ascii="Times New Roman" w:hAnsi="Times New Roman" w:eastAsia="Times New Roman"/>
          <w:b/>
          <w:sz w:val="24"/>
        </w:rPr>
        <w:t xml:space="preserve">Transparency: </w:t>
      </w:r>
      <w:r>
        <w:rPr>
          <w:rFonts w:ascii="Times New Roman" w:hAnsi="Times New Roman" w:eastAsia="Times New Roman"/>
          <w:b w:val="0"/>
          <w:sz w:val="24"/>
        </w:rPr>
        <w:t>FX and duty figures are decision aids based on user inputs, shipper/agent paperwork, and/or public rate sources—not legal advice. Already-Local mode records the source of converted amounts for auditability.</w:t>
      </w:r>
    </w:p>
    <w:p>
      <w:pPr>
        <w:spacing w:before="240" w:after="120"/>
      </w:pPr>
      <w:r>
        <w:rPr>
          <w:rFonts w:ascii="Times New Roman" w:hAnsi="Times New Roman" w:eastAsia="Times New Roman"/>
          <w:b/>
          <w:sz w:val="26"/>
        </w:rPr>
        <w:t>5. Evaluation Plan (Critical for Final-Year Quality)</w:t>
      </w:r>
    </w:p>
    <w:p>
      <w:pPr>
        <w:spacing w:after="120" w:line="360" w:lineRule="auto"/>
        <w:ind w:firstLine="720"/>
        <w:jc w:val="both"/>
      </w:pPr>
      <w:r>
        <w:rPr>
          <w:rFonts w:ascii="Times New Roman" w:hAnsi="Times New Roman" w:eastAsia="Times New Roman"/>
          <w:b w:val="0"/>
          <w:sz w:val="24"/>
        </w:rPr>
        <w:t>A major upgrade over the original proposal is an explicit evaluation design. Without measurement, Tranz-Algo risks being judged as "yet another inventory system." With measurement, it becomes an evidence-backed intervention.</w:t>
      </w:r>
    </w:p>
    <w:p>
      <w:pPr>
        <w:spacing w:after="120" w:line="360" w:lineRule="auto"/>
        <w:jc w:val="both"/>
      </w:pPr>
      <w:r>
        <w:rPr>
          <w:rFonts w:ascii="Times New Roman" w:hAnsi="Times New Roman" w:eastAsia="Times New Roman"/>
          <w:b w:val="0"/>
          <w:sz w:val="24"/>
        </w:rPr>
        <w:t>Evaluation methods:</w:t>
      </w:r>
    </w:p>
    <w:p>
      <w:pPr>
        <w:pStyle w:val="ListBullet"/>
        <w:spacing w:after="60" w:line="276" w:lineRule="auto"/>
      </w:pPr>
      <w:r>
        <w:rPr>
          <w:rFonts w:ascii="Times New Roman" w:hAnsi="Times New Roman" w:eastAsia="Times New Roman"/>
          <w:b/>
          <w:sz w:val="24"/>
        </w:rPr>
        <w:t xml:space="preserve">Accuracy study: </w:t>
      </w:r>
      <w:r>
        <w:rPr>
          <w:rFonts w:ascii="Times New Roman" w:hAnsi="Times New Roman" w:eastAsia="Times New Roman"/>
          <w:b w:val="0"/>
          <w:sz w:val="24"/>
        </w:rPr>
        <w:t>Prepare 8-12 synthetic but realistic import shipments (mixed weights, currencies, duty rates), covering both Auto FX and Already-Local entry. Compute costs in a controlled Excel baseline and in Tranz-Algo; compare unit landed costs and suggested prices.</w:t>
      </w:r>
    </w:p>
    <w:p>
      <w:pPr>
        <w:pStyle w:val="ListBullet"/>
        <w:spacing w:after="60" w:line="276" w:lineRule="auto"/>
      </w:pPr>
      <w:r>
        <w:rPr>
          <w:rFonts w:ascii="Times New Roman" w:hAnsi="Times New Roman" w:eastAsia="Times New Roman"/>
          <w:b/>
          <w:sz w:val="24"/>
        </w:rPr>
        <w:t xml:space="preserve">Time-to-price study: </w:t>
      </w:r>
      <w:r>
        <w:rPr>
          <w:rFonts w:ascii="Times New Roman" w:hAnsi="Times New Roman" w:eastAsia="Times New Roman"/>
          <w:b w:val="0"/>
          <w:sz w:val="24"/>
        </w:rPr>
        <w:t>Measure minutes required for a novice user to go from invoice entry to approved retail prices in spreadsheet vs Tranz-Algo.</w:t>
      </w:r>
    </w:p>
    <w:p>
      <w:pPr>
        <w:pStyle w:val="ListBullet"/>
        <w:spacing w:after="60" w:line="276" w:lineRule="auto"/>
      </w:pPr>
      <w:r>
        <w:rPr>
          <w:rFonts w:ascii="Times New Roman" w:hAnsi="Times New Roman" w:eastAsia="Times New Roman"/>
          <w:b/>
          <w:sz w:val="24"/>
        </w:rPr>
        <w:t xml:space="preserve">Margin-protection test: </w:t>
      </w:r>
      <w:r>
        <w:rPr>
          <w:rFonts w:ascii="Times New Roman" w:hAnsi="Times New Roman" w:eastAsia="Times New Roman"/>
          <w:b w:val="0"/>
          <w:sz w:val="24"/>
        </w:rPr>
        <w:t>Simulate FX shocks (+/-3%, +/-7%, +/-12%) after prices are locked; record whether Margin-Guard correctly flags eroded SKUs.</w:t>
      </w:r>
    </w:p>
    <w:p>
      <w:pPr>
        <w:pStyle w:val="ListBullet"/>
        <w:spacing w:after="60" w:line="276" w:lineRule="auto"/>
      </w:pPr>
      <w:r>
        <w:rPr>
          <w:rFonts w:ascii="Times New Roman" w:hAnsi="Times New Roman" w:eastAsia="Times New Roman"/>
          <w:b/>
          <w:sz w:val="24"/>
        </w:rPr>
        <w:t xml:space="preserve">Explainability check: </w:t>
      </w:r>
      <w:r>
        <w:rPr>
          <w:rFonts w:ascii="Times New Roman" w:hAnsi="Times New Roman" w:eastAsia="Times New Roman"/>
          <w:b w:val="0"/>
          <w:sz w:val="24"/>
        </w:rPr>
        <w:t>Ask users which allocation method and entry mode they trust and whether the ledger explanation increases confidence (short structured feedback form).</w:t>
      </w:r>
    </w:p>
    <w:p>
      <w:pPr>
        <w:pStyle w:val="ListBullet"/>
        <w:spacing w:after="60" w:line="276" w:lineRule="auto"/>
      </w:pPr>
      <w:r>
        <w:rPr>
          <w:rFonts w:ascii="Times New Roman" w:hAnsi="Times New Roman" w:eastAsia="Times New Roman"/>
          <w:b/>
          <w:sz w:val="24"/>
        </w:rPr>
        <w:t xml:space="preserve">Reliability tests: </w:t>
      </w:r>
      <w:r>
        <w:rPr>
          <w:rFonts w:ascii="Times New Roman" w:hAnsi="Times New Roman" w:eastAsia="Times New Roman"/>
          <w:b w:val="0"/>
          <w:sz w:val="24"/>
        </w:rPr>
        <w:t>Unit tests for allocation edge cases (zero weight, single-item batch, mixed units), mode switching/mixed paperwork, and API fallback when FX service is unavailable.</w:t>
      </w:r>
    </w:p>
    <w:p>
      <w:pPr>
        <w:spacing w:after="120" w:line="360" w:lineRule="auto"/>
        <w:jc w:val="both"/>
      </w:pPr>
      <w:r>
        <w:rPr>
          <w:rFonts w:ascii="Times New Roman" w:hAnsi="Times New Roman" w:eastAsia="Times New Roman"/>
          <w:b w:val="0"/>
          <w:sz w:val="24"/>
        </w:rPr>
        <w:t>Primary success criteria:</w:t>
      </w:r>
    </w:p>
    <w:p>
      <w:pPr>
        <w:pStyle w:val="ListBullet"/>
        <w:spacing w:after="60" w:line="276" w:lineRule="auto"/>
      </w:pPr>
      <w:r>
        <w:rPr>
          <w:rFonts w:ascii="Times New Roman" w:hAnsi="Times New Roman" w:eastAsia="Times New Roman"/>
          <w:b w:val="0"/>
          <w:sz w:val="24"/>
        </w:rPr>
        <w:t>Landed-cost outputs match the verified spreadsheet baseline within rounding tolerance (e.g., &lt;= 0.01 currency units per item for identical inputs) in both entry modes.</w:t>
      </w:r>
    </w:p>
    <w:p>
      <w:pPr>
        <w:pStyle w:val="ListBullet"/>
        <w:spacing w:after="60" w:line="276" w:lineRule="auto"/>
      </w:pPr>
      <w:r>
        <w:rPr>
          <w:rFonts w:ascii="Times New Roman" w:hAnsi="Times New Roman" w:eastAsia="Times New Roman"/>
          <w:b w:val="0"/>
          <w:sz w:val="24"/>
        </w:rPr>
        <w:t>Margin-Guard detects all seeded erosion cases in the FX shock suite.</w:t>
      </w:r>
    </w:p>
    <w:p>
      <w:pPr>
        <w:pStyle w:val="ListBullet"/>
        <w:spacing w:after="60" w:line="276" w:lineRule="auto"/>
      </w:pPr>
      <w:r>
        <w:rPr>
          <w:rFonts w:ascii="Times New Roman" w:hAnsi="Times New Roman" w:eastAsia="Times New Roman"/>
          <w:b w:val="0"/>
          <w:sz w:val="24"/>
        </w:rPr>
        <w:t>Prototype completes the full path in both modes: authenticate -&gt; register products -&gt; create shipment batch (Auto FX or Already-Local) -&gt; allocate costs -&gt; suggest prices -&gt; view ledger/alerts/report.</w:t>
      </w:r>
    </w:p>
    <w:p>
      <w:pPr>
        <w:spacing w:before="240" w:after="120"/>
      </w:pPr>
      <w:r>
        <w:rPr>
          <w:rFonts w:ascii="Times New Roman" w:hAnsi="Times New Roman" w:eastAsia="Times New Roman"/>
          <w:b/>
          <w:sz w:val="26"/>
        </w:rPr>
        <w:t>6. Expected Outcomes</w:t>
      </w:r>
    </w:p>
    <w:p>
      <w:pPr>
        <w:pStyle w:val="ListBullet"/>
        <w:spacing w:after="60" w:line="276" w:lineRule="auto"/>
      </w:pPr>
      <w:r>
        <w:rPr>
          <w:rFonts w:ascii="Times New Roman" w:hAnsi="Times New Roman" w:eastAsia="Times New Roman"/>
          <w:b w:val="0"/>
          <w:sz w:val="24"/>
        </w:rPr>
        <w:t>A working software prototype: secure admin dashboard, dual-mode landed-cost engine, allocation comparator, price suggestion, Margin-Guard alerts, and inventory/batch reporting.</w:t>
      </w:r>
    </w:p>
    <w:p>
      <w:pPr>
        <w:pStyle w:val="ListBullet"/>
        <w:spacing w:after="60" w:line="276" w:lineRule="auto"/>
      </w:pPr>
      <w:r>
        <w:rPr>
          <w:rFonts w:ascii="Times New Roman" w:hAnsi="Times New Roman" w:eastAsia="Times New Roman"/>
          <w:b w:val="0"/>
          <w:sz w:val="24"/>
        </w:rPr>
        <w:t>A True-Cost Ledger export (on-screen and/or CSV) suitable for academic demonstration of correctness, including entry mode and paperwork source.</w:t>
      </w:r>
    </w:p>
    <w:p>
      <w:pPr>
        <w:pStyle w:val="ListBullet"/>
        <w:spacing w:after="60" w:line="276" w:lineRule="auto"/>
      </w:pPr>
      <w:r>
        <w:rPr>
          <w:rFonts w:ascii="Times New Roman" w:hAnsi="Times New Roman" w:eastAsia="Times New Roman"/>
          <w:b w:val="0"/>
          <w:sz w:val="24"/>
        </w:rPr>
        <w:t>Technical report documenting architecture, algorithms, uniqueness analysis, and evaluation results.</w:t>
      </w:r>
    </w:p>
    <w:p>
      <w:pPr>
        <w:pStyle w:val="ListBullet"/>
        <w:spacing w:after="60" w:line="276" w:lineRule="auto"/>
      </w:pPr>
      <w:r>
        <w:rPr>
          <w:rFonts w:ascii="Times New Roman" w:hAnsi="Times New Roman" w:eastAsia="Times New Roman"/>
          <w:b w:val="0"/>
          <w:sz w:val="24"/>
        </w:rPr>
        <w:t>User manual for store administrators.</w:t>
      </w:r>
    </w:p>
    <w:p>
      <w:pPr>
        <w:pStyle w:val="ListBullet"/>
        <w:spacing w:after="60" w:line="276" w:lineRule="auto"/>
      </w:pPr>
      <w:r>
        <w:rPr>
          <w:rFonts w:ascii="Times New Roman" w:hAnsi="Times New Roman" w:eastAsia="Times New Roman"/>
          <w:b w:val="0"/>
          <w:sz w:val="24"/>
        </w:rPr>
        <w:t>Test suite and sample scenario pack that future students or SMEs can reuse.</w:t>
      </w:r>
    </w:p>
    <w:p>
      <w:pPr>
        <w:spacing w:before="240" w:after="120"/>
      </w:pPr>
      <w:r>
        <w:rPr>
          <w:rFonts w:ascii="Times New Roman" w:hAnsi="Times New Roman" w:eastAsia="Times New Roman"/>
          <w:b/>
          <w:sz w:val="26"/>
        </w:rPr>
        <w:t>7. Project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Phase</w:t>
            </w:r>
          </w:p>
        </w:tc>
        <w:tc>
          <w:tcPr>
            <w:tcW w:type="dxa" w:w="3120"/>
          </w:tcPr>
          <w:p>
            <w:r/>
            <w:r>
              <w:rPr>
                <w:rFonts w:ascii="Times New Roman" w:hAnsi="Times New Roman" w:eastAsia="Times New Roman"/>
                <w:b/>
                <w:sz w:val="22"/>
              </w:rPr>
              <w:t>Duration</w:t>
            </w:r>
          </w:p>
        </w:tc>
        <w:tc>
          <w:tcPr>
            <w:tcW w:type="dxa" w:w="3120"/>
          </w:tcPr>
          <w:p>
            <w:r/>
            <w:r>
              <w:rPr>
                <w:rFonts w:ascii="Times New Roman" w:hAnsi="Times New Roman" w:eastAsia="Times New Roman"/>
                <w:b/>
                <w:sz w:val="22"/>
              </w:rPr>
              <w:t>Key focus</w:t>
            </w:r>
          </w:p>
        </w:tc>
      </w:tr>
      <w:tr>
        <w:tc>
          <w:tcPr>
            <w:tcW w:type="dxa" w:w="3120"/>
          </w:tcPr>
          <w:p>
            <w:r/>
            <w:r>
              <w:rPr>
                <w:rFonts w:ascii="Times New Roman" w:hAnsi="Times New Roman" w:eastAsia="Times New Roman"/>
                <w:b w:val="0"/>
                <w:sz w:val="22"/>
              </w:rPr>
              <w:t>Proposal &amp; revised plan freeze</w:t>
            </w:r>
          </w:p>
        </w:tc>
        <w:tc>
          <w:tcPr>
            <w:tcW w:type="dxa" w:w="3120"/>
          </w:tcPr>
          <w:p>
            <w:r/>
            <w:r>
              <w:rPr>
                <w:rFonts w:ascii="Times New Roman" w:hAnsi="Times New Roman" w:eastAsia="Times New Roman"/>
                <w:b w:val="0"/>
                <w:sz w:val="22"/>
              </w:rPr>
              <w:t>Weeks 1-2</w:t>
            </w:r>
          </w:p>
        </w:tc>
        <w:tc>
          <w:tcPr>
            <w:tcW w:type="dxa" w:w="3120"/>
          </w:tcPr>
          <w:p>
            <w:r/>
            <w:r>
              <w:rPr>
                <w:rFonts w:ascii="Times New Roman" w:hAnsi="Times New Roman" w:eastAsia="Times New Roman"/>
                <w:b w:val="0"/>
                <w:sz w:val="22"/>
              </w:rPr>
              <w:t>Confirm scope, dual modes, uniqueness claims, evaluation metrics</w:t>
            </w:r>
          </w:p>
        </w:tc>
      </w:tr>
      <w:tr>
        <w:tc>
          <w:tcPr>
            <w:tcW w:type="dxa" w:w="3120"/>
          </w:tcPr>
          <w:p>
            <w:r/>
            <w:r>
              <w:rPr>
                <w:rFonts w:ascii="Times New Roman" w:hAnsi="Times New Roman" w:eastAsia="Times New Roman"/>
                <w:b w:val="0"/>
                <w:sz w:val="22"/>
              </w:rPr>
              <w:t>Literature review &amp; design</w:t>
            </w:r>
          </w:p>
        </w:tc>
        <w:tc>
          <w:tcPr>
            <w:tcW w:type="dxa" w:w="3120"/>
          </w:tcPr>
          <w:p>
            <w:r/>
            <w:r>
              <w:rPr>
                <w:rFonts w:ascii="Times New Roman" w:hAnsi="Times New Roman" w:eastAsia="Times New Roman"/>
                <w:b w:val="0"/>
                <w:sz w:val="22"/>
              </w:rPr>
              <w:t>Weeks 3-5</w:t>
            </w:r>
          </w:p>
        </w:tc>
        <w:tc>
          <w:tcPr>
            <w:tcW w:type="dxa" w:w="3120"/>
          </w:tcPr>
          <w:p>
            <w:r/>
            <w:r>
              <w:rPr>
                <w:rFonts w:ascii="Times New Roman" w:hAnsi="Times New Roman" w:eastAsia="Times New Roman"/>
                <w:b w:val="0"/>
                <w:sz w:val="22"/>
              </w:rPr>
              <w:t>Compare similar systems; ERD; algorithm pseudocode; wireframes</w:t>
            </w:r>
          </w:p>
        </w:tc>
      </w:tr>
      <w:tr>
        <w:tc>
          <w:tcPr>
            <w:tcW w:type="dxa" w:w="3120"/>
          </w:tcPr>
          <w:p>
            <w:r/>
            <w:r>
              <w:rPr>
                <w:rFonts w:ascii="Times New Roman" w:hAnsi="Times New Roman" w:eastAsia="Times New Roman"/>
                <w:b w:val="0"/>
                <w:sz w:val="22"/>
              </w:rPr>
              <w:t>Implementation / development</w:t>
            </w:r>
          </w:p>
        </w:tc>
        <w:tc>
          <w:tcPr>
            <w:tcW w:type="dxa" w:w="3120"/>
          </w:tcPr>
          <w:p>
            <w:r/>
            <w:r>
              <w:rPr>
                <w:rFonts w:ascii="Times New Roman" w:hAnsi="Times New Roman" w:eastAsia="Times New Roman"/>
                <w:b w:val="0"/>
                <w:sz w:val="22"/>
              </w:rPr>
              <w:t>Weeks 6-10</w:t>
            </w:r>
          </w:p>
        </w:tc>
        <w:tc>
          <w:tcPr>
            <w:tcW w:type="dxa" w:w="3120"/>
          </w:tcPr>
          <w:p>
            <w:r/>
            <w:r>
              <w:rPr>
                <w:rFonts w:ascii="Times New Roman" w:hAnsi="Times New Roman" w:eastAsia="Times New Roman"/>
                <w:b w:val="0"/>
                <w:sz w:val="22"/>
              </w:rPr>
              <w:t>Auth, dual-mode entry, FX cache, allocator, suggestion, inventory, ledger, dashboard</w:t>
            </w:r>
          </w:p>
        </w:tc>
      </w:tr>
      <w:tr>
        <w:tc>
          <w:tcPr>
            <w:tcW w:type="dxa" w:w="3120"/>
          </w:tcPr>
          <w:p>
            <w:r/>
            <w:r>
              <w:rPr>
                <w:rFonts w:ascii="Times New Roman" w:hAnsi="Times New Roman" w:eastAsia="Times New Roman"/>
                <w:b w:val="0"/>
                <w:sz w:val="22"/>
              </w:rPr>
              <w:t>Midway evaluation</w:t>
            </w:r>
          </w:p>
        </w:tc>
        <w:tc>
          <w:tcPr>
            <w:tcW w:type="dxa" w:w="3120"/>
          </w:tcPr>
          <w:p>
            <w:r/>
            <w:r>
              <w:rPr>
                <w:rFonts w:ascii="Times New Roman" w:hAnsi="Times New Roman" w:eastAsia="Times New Roman"/>
                <w:b w:val="0"/>
                <w:sz w:val="22"/>
              </w:rPr>
              <w:t>Week 11</w:t>
            </w:r>
          </w:p>
        </w:tc>
        <w:tc>
          <w:tcPr>
            <w:tcW w:type="dxa" w:w="3120"/>
          </w:tcPr>
          <w:p>
            <w:r/>
            <w:r>
              <w:rPr>
                <w:rFonts w:ascii="Times New Roman" w:hAnsi="Times New Roman" w:eastAsia="Times New Roman"/>
                <w:b w:val="0"/>
                <w:sz w:val="22"/>
              </w:rPr>
              <w:t>Demo both entry modes + partial UI; supervisor feedback</w:t>
            </w:r>
          </w:p>
        </w:tc>
      </w:tr>
      <w:tr>
        <w:tc>
          <w:tcPr>
            <w:tcW w:type="dxa" w:w="3120"/>
          </w:tcPr>
          <w:p>
            <w:r/>
            <w:r>
              <w:rPr>
                <w:rFonts w:ascii="Times New Roman" w:hAnsi="Times New Roman" w:eastAsia="Times New Roman"/>
                <w:b w:val="0"/>
                <w:sz w:val="22"/>
              </w:rPr>
              <w:t>Testing &amp; hardening</w:t>
            </w:r>
          </w:p>
        </w:tc>
        <w:tc>
          <w:tcPr>
            <w:tcW w:type="dxa" w:w="3120"/>
          </w:tcPr>
          <w:p>
            <w:r/>
            <w:r>
              <w:rPr>
                <w:rFonts w:ascii="Times New Roman" w:hAnsi="Times New Roman" w:eastAsia="Times New Roman"/>
                <w:b w:val="0"/>
                <w:sz w:val="22"/>
              </w:rPr>
              <w:t>Weeks 12-13</w:t>
            </w:r>
          </w:p>
        </w:tc>
        <w:tc>
          <w:tcPr>
            <w:tcW w:type="dxa" w:w="3120"/>
          </w:tcPr>
          <w:p>
            <w:r/>
            <w:r>
              <w:rPr>
                <w:rFonts w:ascii="Times New Roman" w:hAnsi="Times New Roman" w:eastAsia="Times New Roman"/>
                <w:b w:val="0"/>
                <w:sz w:val="22"/>
              </w:rPr>
              <w:t>Baseline comparison, FX shock tests, UX fixes</w:t>
            </w:r>
          </w:p>
        </w:tc>
      </w:tr>
      <w:tr>
        <w:tc>
          <w:tcPr>
            <w:tcW w:type="dxa" w:w="3120"/>
          </w:tcPr>
          <w:p>
            <w:r/>
            <w:r>
              <w:rPr>
                <w:rFonts w:ascii="Times New Roman" w:hAnsi="Times New Roman" w:eastAsia="Times New Roman"/>
                <w:b w:val="0"/>
                <w:sz w:val="22"/>
              </w:rPr>
              <w:t>Final report writing</w:t>
            </w:r>
          </w:p>
        </w:tc>
        <w:tc>
          <w:tcPr>
            <w:tcW w:type="dxa" w:w="3120"/>
          </w:tcPr>
          <w:p>
            <w:r/>
            <w:r>
              <w:rPr>
                <w:rFonts w:ascii="Times New Roman" w:hAnsi="Times New Roman" w:eastAsia="Times New Roman"/>
                <w:b w:val="0"/>
                <w:sz w:val="22"/>
              </w:rPr>
              <w:t>Weeks 14-15</w:t>
            </w:r>
          </w:p>
        </w:tc>
        <w:tc>
          <w:tcPr>
            <w:tcW w:type="dxa" w:w="3120"/>
          </w:tcPr>
          <w:p>
            <w:r/>
            <w:r>
              <w:rPr>
                <w:rFonts w:ascii="Times New Roman" w:hAnsi="Times New Roman" w:eastAsia="Times New Roman"/>
                <w:b w:val="0"/>
                <w:sz w:val="22"/>
              </w:rPr>
              <w:t>Results, discussion, limitations, uniqueness evidence</w:t>
            </w:r>
          </w:p>
        </w:tc>
      </w:tr>
      <w:tr>
        <w:tc>
          <w:tcPr>
            <w:tcW w:type="dxa" w:w="3120"/>
          </w:tcPr>
          <w:p>
            <w:r/>
            <w:r>
              <w:rPr>
                <w:rFonts w:ascii="Times New Roman" w:hAnsi="Times New Roman" w:eastAsia="Times New Roman"/>
                <w:b w:val="0"/>
                <w:sz w:val="22"/>
              </w:rPr>
              <w:t>Final submission &amp; presentation</w:t>
            </w:r>
          </w:p>
        </w:tc>
        <w:tc>
          <w:tcPr>
            <w:tcW w:type="dxa" w:w="3120"/>
          </w:tcPr>
          <w:p>
            <w:r/>
            <w:r>
              <w:rPr>
                <w:rFonts w:ascii="Times New Roman" w:hAnsi="Times New Roman" w:eastAsia="Times New Roman"/>
                <w:b w:val="0"/>
                <w:sz w:val="22"/>
              </w:rPr>
              <w:t>Week 16</w:t>
            </w:r>
          </w:p>
        </w:tc>
        <w:tc>
          <w:tcPr>
            <w:tcW w:type="dxa" w:w="3120"/>
          </w:tcPr>
          <w:p>
            <w:r/>
            <w:r>
              <w:rPr>
                <w:rFonts w:ascii="Times New Roman" w:hAnsi="Times New Roman" w:eastAsia="Times New Roman"/>
                <w:b w:val="0"/>
                <w:sz w:val="22"/>
              </w:rPr>
              <w:t>Prototype + documentation + viva readiness</w:t>
            </w:r>
          </w:p>
        </w:tc>
      </w:tr>
    </w:tbl>
    <w:p/>
    <w:p>
      <w:pPr>
        <w:spacing w:before="240" w:after="120"/>
      </w:pPr>
      <w:r>
        <w:rPr>
          <w:rFonts w:ascii="Times New Roman" w:hAnsi="Times New Roman" w:eastAsia="Times New Roman"/>
          <w:b/>
          <w:sz w:val="26"/>
        </w:rPr>
        <w:t>8. Risk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Risk</w:t>
            </w:r>
          </w:p>
        </w:tc>
        <w:tc>
          <w:tcPr>
            <w:tcW w:type="dxa" w:w="3120"/>
          </w:tcPr>
          <w:p>
            <w:r/>
            <w:r>
              <w:rPr>
                <w:rFonts w:ascii="Times New Roman" w:hAnsi="Times New Roman" w:eastAsia="Times New Roman"/>
                <w:b/>
                <w:sz w:val="22"/>
              </w:rPr>
              <w:t>Impact</w:t>
            </w:r>
          </w:p>
        </w:tc>
        <w:tc>
          <w:tcPr>
            <w:tcW w:type="dxa" w:w="3120"/>
          </w:tcPr>
          <w:p>
            <w:r/>
            <w:r>
              <w:rPr>
                <w:rFonts w:ascii="Times New Roman" w:hAnsi="Times New Roman" w:eastAsia="Times New Roman"/>
                <w:b/>
                <w:sz w:val="22"/>
              </w:rPr>
              <w:t>Mitigation</w:t>
            </w:r>
          </w:p>
        </w:tc>
      </w:tr>
      <w:tr>
        <w:tc>
          <w:tcPr>
            <w:tcW w:type="dxa" w:w="3120"/>
          </w:tcPr>
          <w:p>
            <w:r/>
            <w:r>
              <w:rPr>
                <w:rFonts w:ascii="Times New Roman" w:hAnsi="Times New Roman" w:eastAsia="Times New Roman"/>
                <w:b w:val="0"/>
                <w:sz w:val="22"/>
              </w:rPr>
              <w:t>FX API downtime / rate limits</w:t>
            </w:r>
          </w:p>
        </w:tc>
        <w:tc>
          <w:tcPr>
            <w:tcW w:type="dxa" w:w="3120"/>
          </w:tcPr>
          <w:p>
            <w:r/>
            <w:r>
              <w:rPr>
                <w:rFonts w:ascii="Times New Roman" w:hAnsi="Times New Roman" w:eastAsia="Times New Roman"/>
                <w:b w:val="0"/>
                <w:sz w:val="22"/>
              </w:rPr>
              <w:t>High</w:t>
            </w:r>
          </w:p>
        </w:tc>
        <w:tc>
          <w:tcPr>
            <w:tcW w:type="dxa" w:w="3120"/>
          </w:tcPr>
          <w:p>
            <w:r/>
            <w:r>
              <w:rPr>
                <w:rFonts w:ascii="Times New Roman" w:hAnsi="Times New Roman" w:eastAsia="Times New Roman"/>
                <w:b w:val="0"/>
                <w:sz w:val="22"/>
              </w:rPr>
              <w:t>Cache last known good rate; manual rate override; Already-Local mode continues without live FX</w:t>
            </w:r>
          </w:p>
        </w:tc>
      </w:tr>
      <w:tr>
        <w:tc>
          <w:tcPr>
            <w:tcW w:type="dxa" w:w="3120"/>
          </w:tcPr>
          <w:p>
            <w:r/>
            <w:r>
              <w:rPr>
                <w:rFonts w:ascii="Times New Roman" w:hAnsi="Times New Roman" w:eastAsia="Times New Roman"/>
                <w:b w:val="0"/>
                <w:sz w:val="22"/>
              </w:rPr>
              <w:t>Data-entry errors by users</w:t>
            </w:r>
          </w:p>
        </w:tc>
        <w:tc>
          <w:tcPr>
            <w:tcW w:type="dxa" w:w="3120"/>
          </w:tcPr>
          <w:p>
            <w:r/>
            <w:r>
              <w:rPr>
                <w:rFonts w:ascii="Times New Roman" w:hAnsi="Times New Roman" w:eastAsia="Times New Roman"/>
                <w:b w:val="0"/>
                <w:sz w:val="22"/>
              </w:rPr>
              <w:t>High</w:t>
            </w:r>
          </w:p>
        </w:tc>
        <w:tc>
          <w:tcPr>
            <w:tcW w:type="dxa" w:w="3120"/>
          </w:tcPr>
          <w:p>
            <w:r/>
            <w:r>
              <w:rPr>
                <w:rFonts w:ascii="Times New Roman" w:hAnsi="Times New Roman" w:eastAsia="Times New Roman"/>
                <w:b w:val="0"/>
                <w:sz w:val="22"/>
              </w:rPr>
              <w:t>Validation, required fields, preview of allocation before commit; record paperwork source</w:t>
            </w:r>
          </w:p>
        </w:tc>
      </w:tr>
      <w:tr>
        <w:tc>
          <w:tcPr>
            <w:tcW w:type="dxa" w:w="3120"/>
          </w:tcPr>
          <w:p>
            <w:r/>
            <w:r>
              <w:rPr>
                <w:rFonts w:ascii="Times New Roman" w:hAnsi="Times New Roman" w:eastAsia="Times New Roman"/>
                <w:b w:val="0"/>
                <w:sz w:val="22"/>
              </w:rPr>
              <w:t>Logic errors in allocation/tax</w:t>
            </w:r>
          </w:p>
        </w:tc>
        <w:tc>
          <w:tcPr>
            <w:tcW w:type="dxa" w:w="3120"/>
          </w:tcPr>
          <w:p>
            <w:r/>
            <w:r>
              <w:rPr>
                <w:rFonts w:ascii="Times New Roman" w:hAnsi="Times New Roman" w:eastAsia="Times New Roman"/>
                <w:b w:val="0"/>
                <w:sz w:val="22"/>
              </w:rPr>
              <w:t>Critical</w:t>
            </w:r>
          </w:p>
        </w:tc>
        <w:tc>
          <w:tcPr>
            <w:tcW w:type="dxa" w:w="3120"/>
          </w:tcPr>
          <w:p>
            <w:r/>
            <w:r>
              <w:rPr>
                <w:rFonts w:ascii="Times New Roman" w:hAnsi="Times New Roman" w:eastAsia="Times New Roman"/>
                <w:b w:val="0"/>
                <w:sz w:val="22"/>
              </w:rPr>
              <w:t>Pair formula review, unit tests, spreadsheet oracle comparisons for both modes</w:t>
            </w:r>
          </w:p>
        </w:tc>
      </w:tr>
      <w:tr>
        <w:tc>
          <w:tcPr>
            <w:tcW w:type="dxa" w:w="3120"/>
          </w:tcPr>
          <w:p>
            <w:r/>
            <w:r>
              <w:rPr>
                <w:rFonts w:ascii="Times New Roman" w:hAnsi="Times New Roman" w:eastAsia="Times New Roman"/>
                <w:b w:val="0"/>
                <w:sz w:val="22"/>
              </w:rPr>
              <w:t>Scope creep into full ERP/POS</w:t>
            </w:r>
          </w:p>
        </w:tc>
        <w:tc>
          <w:tcPr>
            <w:tcW w:type="dxa" w:w="3120"/>
          </w:tcPr>
          <w:p>
            <w:r/>
            <w:r>
              <w:rPr>
                <w:rFonts w:ascii="Times New Roman" w:hAnsi="Times New Roman" w:eastAsia="Times New Roman"/>
                <w:b w:val="0"/>
                <w:sz w:val="22"/>
              </w:rPr>
              <w:t>High</w:t>
            </w:r>
          </w:p>
        </w:tc>
        <w:tc>
          <w:tcPr>
            <w:tcW w:type="dxa" w:w="3120"/>
          </w:tcPr>
          <w:p>
            <w:r/>
            <w:r>
              <w:rPr>
                <w:rFonts w:ascii="Times New Roman" w:hAnsi="Times New Roman" w:eastAsia="Times New Roman"/>
                <w:b w:val="0"/>
                <w:sz w:val="22"/>
              </w:rPr>
              <w:t>Strict out-of-scope list; shipment-to-price path is the MVP</w:t>
            </w:r>
          </w:p>
        </w:tc>
      </w:tr>
      <w:tr>
        <w:tc>
          <w:tcPr>
            <w:tcW w:type="dxa" w:w="3120"/>
          </w:tcPr>
          <w:p>
            <w:r/>
            <w:r>
              <w:rPr>
                <w:rFonts w:ascii="Times New Roman" w:hAnsi="Times New Roman" w:eastAsia="Times New Roman"/>
                <w:b w:val="0"/>
                <w:sz w:val="22"/>
              </w:rPr>
              <w:t>Free-tier database limits</w:t>
            </w:r>
          </w:p>
        </w:tc>
        <w:tc>
          <w:tcPr>
            <w:tcW w:type="dxa" w:w="3120"/>
          </w:tcPr>
          <w:p>
            <w:r/>
            <w:r>
              <w:rPr>
                <w:rFonts w:ascii="Times New Roman" w:hAnsi="Times New Roman" w:eastAsia="Times New Roman"/>
                <w:b w:val="0"/>
                <w:sz w:val="22"/>
              </w:rPr>
              <w:t>Medium</w:t>
            </w:r>
          </w:p>
        </w:tc>
        <w:tc>
          <w:tcPr>
            <w:tcW w:type="dxa" w:w="3120"/>
          </w:tcPr>
          <w:p>
            <w:r/>
            <w:r>
              <w:rPr>
                <w:rFonts w:ascii="Times New Roman" w:hAnsi="Times New Roman" w:eastAsia="Times New Roman"/>
                <w:b w:val="0"/>
                <w:sz w:val="22"/>
              </w:rPr>
              <w:t>Keep dataset small; local PostgreSQL fallback if needed</w:t>
            </w:r>
          </w:p>
        </w:tc>
      </w:tr>
      <w:tr>
        <w:tc>
          <w:tcPr>
            <w:tcW w:type="dxa" w:w="3120"/>
          </w:tcPr>
          <w:p>
            <w:r/>
            <w:r>
              <w:rPr>
                <w:rFonts w:ascii="Times New Roman" w:hAnsi="Times New Roman" w:eastAsia="Times New Roman"/>
                <w:b w:val="0"/>
                <w:sz w:val="22"/>
              </w:rPr>
              <w:t>Insufficient SME participants</w:t>
            </w:r>
          </w:p>
        </w:tc>
        <w:tc>
          <w:tcPr>
            <w:tcW w:type="dxa" w:w="3120"/>
          </w:tcPr>
          <w:p>
            <w:r/>
            <w:r>
              <w:rPr>
                <w:rFonts w:ascii="Times New Roman" w:hAnsi="Times New Roman" w:eastAsia="Times New Roman"/>
                <w:b w:val="0"/>
                <w:sz w:val="22"/>
              </w:rPr>
              <w:t>Medium</w:t>
            </w:r>
          </w:p>
        </w:tc>
        <w:tc>
          <w:tcPr>
            <w:tcW w:type="dxa" w:w="3120"/>
          </w:tcPr>
          <w:p>
            <w:r/>
            <w:r>
              <w:rPr>
                <w:rFonts w:ascii="Times New Roman" w:hAnsi="Times New Roman" w:eastAsia="Times New Roman"/>
                <w:b w:val="0"/>
                <w:sz w:val="22"/>
              </w:rPr>
              <w:t>Use synthetic scenario pack + at least one expert walkthrough</w:t>
            </w:r>
          </w:p>
        </w:tc>
      </w:tr>
    </w:tbl>
    <w:p/>
    <w:p>
      <w:pPr>
        <w:spacing w:before="240" w:after="120"/>
      </w:pPr>
      <w:r>
        <w:rPr>
          <w:rFonts w:ascii="Times New Roman" w:hAnsi="Times New Roman" w:eastAsia="Times New Roman"/>
          <w:b/>
          <w:sz w:val="26"/>
        </w:rPr>
        <w:t>9. Minimum Viable Product (MVP) vs Stretch Goals</w:t>
      </w:r>
    </w:p>
    <w:p>
      <w:pPr>
        <w:spacing w:after="120" w:line="360" w:lineRule="auto"/>
        <w:jc w:val="both"/>
      </w:pPr>
      <w:r>
        <w:rPr>
          <w:rFonts w:ascii="Times New Roman" w:hAnsi="Times New Roman" w:eastAsia="Times New Roman"/>
          <w:b w:val="0"/>
          <w:sz w:val="24"/>
        </w:rPr>
        <w:t>MVP (must ship for a complete final-year prototype):</w:t>
      </w:r>
    </w:p>
    <w:p>
      <w:pPr>
        <w:pStyle w:val="ListBullet"/>
        <w:spacing w:after="60" w:line="276" w:lineRule="auto"/>
      </w:pPr>
      <w:r>
        <w:rPr>
          <w:rFonts w:ascii="Times New Roman" w:hAnsi="Times New Roman" w:eastAsia="Times New Roman"/>
          <w:b w:val="0"/>
          <w:sz w:val="24"/>
        </w:rPr>
        <w:t>User auth + admin dashboard</w:t>
      </w:r>
    </w:p>
    <w:p>
      <w:pPr>
        <w:pStyle w:val="ListBullet"/>
        <w:spacing w:after="60" w:line="276" w:lineRule="auto"/>
      </w:pPr>
      <w:r>
        <w:rPr>
          <w:rFonts w:ascii="Times New Roman" w:hAnsi="Times New Roman" w:eastAsia="Times New Roman"/>
          <w:b w:val="0"/>
          <w:sz w:val="24"/>
        </w:rPr>
        <w:t>Product &amp; shipment-batch inventory</w:t>
      </w:r>
    </w:p>
    <w:p>
      <w:pPr>
        <w:pStyle w:val="ListBullet"/>
        <w:spacing w:after="60" w:line="276" w:lineRule="auto"/>
      </w:pPr>
      <w:r>
        <w:rPr>
          <w:rFonts w:ascii="Times New Roman" w:hAnsi="Times New Roman" w:eastAsia="Times New Roman"/>
          <w:b w:val="0"/>
          <w:sz w:val="24"/>
        </w:rPr>
        <w:t>Dual cost-entry modes (Auto FX with cache/fallback + Already-Local shipper amounts)</w:t>
      </w:r>
    </w:p>
    <w:p>
      <w:pPr>
        <w:pStyle w:val="ListBullet"/>
        <w:spacing w:after="60" w:line="276" w:lineRule="auto"/>
      </w:pPr>
      <w:r>
        <w:rPr>
          <w:rFonts w:ascii="Times New Roman" w:hAnsi="Times New Roman" w:eastAsia="Times New Roman"/>
          <w:b w:val="0"/>
          <w:sz w:val="24"/>
        </w:rPr>
        <w:t>At least two allocation methods + landed-cost formula</w:t>
      </w:r>
    </w:p>
    <w:p>
      <w:pPr>
        <w:pStyle w:val="ListBullet"/>
        <w:spacing w:after="60" w:line="276" w:lineRule="auto"/>
      </w:pPr>
      <w:r>
        <w:rPr>
          <w:rFonts w:ascii="Times New Roman" w:hAnsi="Times New Roman" w:eastAsia="Times New Roman"/>
          <w:b w:val="0"/>
          <w:sz w:val="24"/>
        </w:rPr>
        <w:t>Price suggestion with configurable margin</w:t>
      </w:r>
    </w:p>
    <w:p>
      <w:pPr>
        <w:pStyle w:val="ListBullet"/>
        <w:spacing w:after="60" w:line="276" w:lineRule="auto"/>
      </w:pPr>
      <w:r>
        <w:rPr>
          <w:rFonts w:ascii="Times New Roman" w:hAnsi="Times New Roman" w:eastAsia="Times New Roman"/>
          <w:b w:val="0"/>
          <w:sz w:val="24"/>
        </w:rPr>
        <w:t>True-Cost Ledger for a committed batch (including entry mode/source)</w:t>
      </w:r>
    </w:p>
    <w:p>
      <w:pPr>
        <w:pStyle w:val="ListBullet"/>
        <w:spacing w:after="60" w:line="276" w:lineRule="auto"/>
      </w:pPr>
      <w:r>
        <w:rPr>
          <w:rFonts w:ascii="Times New Roman" w:hAnsi="Times New Roman" w:eastAsia="Times New Roman"/>
          <w:b w:val="0"/>
          <w:sz w:val="24"/>
        </w:rPr>
        <w:t>Basic financial/inventory report</w:t>
      </w:r>
    </w:p>
    <w:p>
      <w:pPr>
        <w:pStyle w:val="ListBullet"/>
        <w:spacing w:after="60" w:line="276" w:lineRule="auto"/>
      </w:pPr>
      <w:r>
        <w:rPr>
          <w:rFonts w:ascii="Times New Roman" w:hAnsi="Times New Roman" w:eastAsia="Times New Roman"/>
          <w:b w:val="0"/>
          <w:sz w:val="24"/>
        </w:rPr>
        <w:t>Evaluation against spreadsheet baseline for both modes</w:t>
      </w:r>
    </w:p>
    <w:p>
      <w:pPr>
        <w:spacing w:after="120" w:line="360" w:lineRule="auto"/>
        <w:jc w:val="both"/>
      </w:pPr>
      <w:r>
        <w:rPr>
          <w:rFonts w:ascii="Times New Roman" w:hAnsi="Times New Roman" w:eastAsia="Times New Roman"/>
          <w:b w:val="0"/>
          <w:sz w:val="24"/>
        </w:rPr>
        <w:t>Stretch goals (only after MVP is stable):</w:t>
      </w:r>
    </w:p>
    <w:p>
      <w:pPr>
        <w:pStyle w:val="ListBullet"/>
        <w:spacing w:after="60" w:line="276" w:lineRule="auto"/>
      </w:pPr>
      <w:r>
        <w:rPr>
          <w:rFonts w:ascii="Times New Roman" w:hAnsi="Times New Roman" w:eastAsia="Times New Roman"/>
          <w:b w:val="0"/>
          <w:sz w:val="24"/>
        </w:rPr>
        <w:t>Third allocation method (value-based) fully polished in UI</w:t>
      </w:r>
    </w:p>
    <w:p>
      <w:pPr>
        <w:pStyle w:val="ListBullet"/>
        <w:spacing w:after="60" w:line="276" w:lineRule="auto"/>
      </w:pPr>
      <w:r>
        <w:rPr>
          <w:rFonts w:ascii="Times New Roman" w:hAnsi="Times New Roman" w:eastAsia="Times New Roman"/>
          <w:b w:val="0"/>
          <w:sz w:val="24"/>
        </w:rPr>
        <w:t>Margin-Guard scheduled FX re-check with alert centre</w:t>
      </w:r>
    </w:p>
    <w:p>
      <w:pPr>
        <w:pStyle w:val="ListBullet"/>
        <w:spacing w:after="60" w:line="276" w:lineRule="auto"/>
      </w:pPr>
      <w:r>
        <w:rPr>
          <w:rFonts w:ascii="Times New Roman" w:hAnsi="Times New Roman" w:eastAsia="Times New Roman"/>
          <w:b w:val="0"/>
          <w:sz w:val="24"/>
        </w:rPr>
        <w:t>CSV import of supplier invoices</w:t>
      </w:r>
    </w:p>
    <w:p>
      <w:pPr>
        <w:pStyle w:val="ListBullet"/>
        <w:spacing w:after="60" w:line="276" w:lineRule="auto"/>
      </w:pPr>
      <w:r>
        <w:rPr>
          <w:rFonts w:ascii="Times New Roman" w:hAnsi="Times New Roman" w:eastAsia="Times New Roman"/>
          <w:b w:val="0"/>
          <w:sz w:val="24"/>
        </w:rPr>
        <w:t>Expo mobile companion for stock lookup</w:t>
      </w:r>
    </w:p>
    <w:p>
      <w:pPr>
        <w:pStyle w:val="ListBullet"/>
        <w:spacing w:after="60" w:line="276" w:lineRule="auto"/>
      </w:pPr>
      <w:r>
        <w:rPr>
          <w:rFonts w:ascii="Times New Roman" w:hAnsi="Times New Roman" w:eastAsia="Times New Roman"/>
          <w:b w:val="0"/>
          <w:sz w:val="24"/>
        </w:rPr>
        <w:t>Duty/VAT profile presets for common local import categories</w:t>
      </w:r>
    </w:p>
    <w:p>
      <w:pPr>
        <w:spacing w:before="240" w:after="120"/>
      </w:pPr>
      <w:r>
        <w:rPr>
          <w:rFonts w:ascii="Times New Roman" w:hAnsi="Times New Roman" w:eastAsia="Times New Roman"/>
          <w:b/>
          <w:sz w:val="26"/>
        </w:rPr>
        <w:t>10. Conclusion</w:t>
      </w:r>
    </w:p>
    <w:p>
      <w:pPr>
        <w:spacing w:after="120" w:line="360" w:lineRule="auto"/>
        <w:ind w:firstLine="720"/>
        <w:jc w:val="both"/>
      </w:pPr>
      <w:r>
        <w:rPr>
          <w:rFonts w:ascii="Times New Roman" w:hAnsi="Times New Roman" w:eastAsia="Times New Roman"/>
          <w:b w:val="0"/>
          <w:sz w:val="24"/>
        </w:rPr>
        <w:t>This revised plan does not abandon Tranz-Algo's original vision. It still targets the True Cost problem for international-to-local retail: inventory orchestration, automated landed-cost calculation, and algorithmic price suggestion. What changes is the academic sharpness: dual Auto FX / Already-Local cost entry that matches real shipping paperwork, explainable multi-method allocation, Margin-Guard under currency drift, an auditable ledger, a free technology stack, and a concrete evaluation design. Those additions keep the project buildable by a final-year student, clearly distinct from generic inventory clones, and better aligned with Computing and Informatics expectations for problem-solving, correctness, and evidence.</w:t>
      </w:r>
    </w:p>
    <w:p>
      <w:pPr>
        <w:spacing w:before="240" w:after="120"/>
      </w:pPr>
      <w:r>
        <w:rPr>
          <w:rFonts w:ascii="Times New Roman" w:hAnsi="Times New Roman" w:eastAsia="Times New Roman"/>
          <w:b/>
          <w:sz w:val="26"/>
        </w:rPr>
        <w:t>11. References</w:t>
      </w:r>
    </w:p>
    <w:p>
      <w:pPr>
        <w:spacing w:after="80"/>
        <w:ind w:left="360" w:hanging="360"/>
      </w:pPr>
      <w:r>
        <w:rPr>
          <w:rFonts w:ascii="Times New Roman" w:hAnsi="Times New Roman" w:eastAsia="Times New Roman"/>
          <w:b w:val="0"/>
          <w:sz w:val="22"/>
        </w:rPr>
        <w:t>R. S. Pressman and B. R. Maxim, Software Engineering: A Practitioner's Approach, 9th ed. McGraw-Hill, 2020.</w:t>
      </w:r>
    </w:p>
    <w:p>
      <w:pPr>
        <w:spacing w:after="80"/>
        <w:ind w:left="360" w:hanging="360"/>
      </w:pPr>
      <w:r>
        <w:rPr>
          <w:rFonts w:ascii="Times New Roman" w:hAnsi="Times New Roman" w:eastAsia="Times New Roman"/>
          <w:b w:val="0"/>
          <w:sz w:val="22"/>
        </w:rPr>
        <w:t>B. Lubanovic, Introducing Python: Modern Computing in Simple Packages, 2nd ed. O'Reilly Media, 2019.</w:t>
      </w:r>
    </w:p>
    <w:p>
      <w:pPr>
        <w:spacing w:after="80"/>
        <w:ind w:left="360" w:hanging="360"/>
      </w:pPr>
      <w:r>
        <w:rPr>
          <w:rFonts w:ascii="Times New Roman" w:hAnsi="Times New Roman" w:eastAsia="Times New Roman"/>
          <w:b w:val="0"/>
          <w:sz w:val="22"/>
        </w:rPr>
        <w:t>J. Mangan and C. Lalwani, Global Logistics and Supply Chain Management. John Wiley &amp; Sons, 2016.</w:t>
      </w:r>
    </w:p>
    <w:p>
      <w:pPr>
        <w:spacing w:after="80"/>
        <w:ind w:left="360" w:hanging="360"/>
      </w:pPr>
      <w:r>
        <w:rPr>
          <w:rFonts w:ascii="Times New Roman" w:hAnsi="Times New Roman" w:eastAsia="Times New Roman"/>
          <w:b w:val="0"/>
          <w:sz w:val="22"/>
        </w:rPr>
        <w:t>European Central Bank / Frankfurter API documentation (free exchange-rate data based on ECB reference rates).</w:t>
      </w:r>
    </w:p>
    <w:p>
      <w:pPr>
        <w:spacing w:after="80"/>
        <w:ind w:left="360" w:hanging="360"/>
      </w:pPr>
      <w:r>
        <w:rPr>
          <w:rFonts w:ascii="Times New Roman" w:hAnsi="Times New Roman" w:eastAsia="Times New Roman"/>
          <w:b w:val="0"/>
          <w:sz w:val="22"/>
        </w:rPr>
        <w:t>FastAPI documentation, https://fastapi.tiangolo.com/</w:t>
      </w:r>
    </w:p>
    <w:p>
      <w:pPr>
        <w:spacing w:after="80"/>
        <w:ind w:left="360" w:hanging="360"/>
      </w:pPr>
      <w:r>
        <w:rPr>
          <w:rFonts w:ascii="Times New Roman" w:hAnsi="Times New Roman" w:eastAsia="Times New Roman"/>
          <w:b w:val="0"/>
          <w:sz w:val="22"/>
        </w:rPr>
        <w:t>Supabase documentation (PostgreSQL free tier), https://supabase.com/docs</w:t>
      </w:r>
    </w:p>
    <w:p>
      <w:pPr>
        <w:spacing w:before="240" w:after="120"/>
      </w:pPr>
      <w:r>
        <w:rPr>
          <w:rFonts w:ascii="Times New Roman" w:hAnsi="Times New Roman" w:eastAsia="Times New Roman"/>
          <w:b/>
          <w:sz w:val="26"/>
        </w:rPr>
        <w:t>Supervisor Approval</w:t>
      </w:r>
    </w:p>
    <w:p>
      <w:r>
        <w:rPr>
          <w:rFonts w:ascii="Times New Roman" w:hAnsi="Times New Roman" w:eastAsia="Times New Roman"/>
          <w:b w:val="0"/>
          <w:sz w:val="24"/>
        </w:rPr>
        <w:t>Name: ____________________________    Signature: ____________________________    Date: ______________</w:t>
      </w:r>
    </w:p>
    <w:p>
      <w:pPr>
        <w:spacing w:before="240" w:after="120"/>
      </w:pPr>
      <w:r>
        <w:rPr>
          <w:rFonts w:ascii="Times New Roman" w:hAnsi="Times New Roman" w:eastAsia="Times New Roman"/>
          <w:b/>
          <w:sz w:val="26"/>
        </w:rPr>
        <w:t>Appendix A — Original Proposal vs Revised Plan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Aspect</w:t>
            </w:r>
          </w:p>
        </w:tc>
        <w:tc>
          <w:tcPr>
            <w:tcW w:type="dxa" w:w="3120"/>
          </w:tcPr>
          <w:p>
            <w:r/>
            <w:r>
              <w:rPr>
                <w:rFonts w:ascii="Times New Roman" w:hAnsi="Times New Roman" w:eastAsia="Times New Roman"/>
                <w:b/>
                <w:sz w:val="22"/>
              </w:rPr>
              <w:t>Original proposal</w:t>
            </w:r>
          </w:p>
        </w:tc>
        <w:tc>
          <w:tcPr>
            <w:tcW w:type="dxa" w:w="3120"/>
          </w:tcPr>
          <w:p>
            <w:r/>
            <w:r>
              <w:rPr>
                <w:rFonts w:ascii="Times New Roman" w:hAnsi="Times New Roman" w:eastAsia="Times New Roman"/>
                <w:b/>
                <w:sz w:val="22"/>
              </w:rPr>
              <w:t>Revised plan</w:t>
            </w:r>
          </w:p>
        </w:tc>
      </w:tr>
      <w:tr>
        <w:tc>
          <w:tcPr>
            <w:tcW w:type="dxa" w:w="3120"/>
          </w:tcPr>
          <w:p>
            <w:r/>
            <w:r>
              <w:rPr>
                <w:rFonts w:ascii="Times New Roman" w:hAnsi="Times New Roman" w:eastAsia="Times New Roman"/>
                <w:b w:val="0"/>
                <w:sz w:val="22"/>
              </w:rPr>
              <w:t>Core idea</w:t>
            </w:r>
          </w:p>
        </w:tc>
        <w:tc>
          <w:tcPr>
            <w:tcW w:type="dxa" w:w="3120"/>
          </w:tcPr>
          <w:p>
            <w:r/>
            <w:r>
              <w:rPr>
                <w:rFonts w:ascii="Times New Roman" w:hAnsi="Times New Roman" w:eastAsia="Times New Roman"/>
                <w:b w:val="0"/>
                <w:sz w:val="22"/>
              </w:rPr>
              <w:t>Landed cost + inventory + price suggestion</w:t>
            </w:r>
          </w:p>
        </w:tc>
        <w:tc>
          <w:tcPr>
            <w:tcW w:type="dxa" w:w="3120"/>
          </w:tcPr>
          <w:p>
            <w:r/>
            <w:r>
              <w:rPr>
                <w:rFonts w:ascii="Times New Roman" w:hAnsi="Times New Roman" w:eastAsia="Times New Roman"/>
                <w:b w:val="0"/>
                <w:sz w:val="22"/>
              </w:rPr>
              <w:t>Preserved</w:t>
            </w:r>
          </w:p>
        </w:tc>
      </w:tr>
      <w:tr>
        <w:tc>
          <w:tcPr>
            <w:tcW w:type="dxa" w:w="3120"/>
          </w:tcPr>
          <w:p>
            <w:r/>
            <w:r>
              <w:rPr>
                <w:rFonts w:ascii="Times New Roman" w:hAnsi="Times New Roman" w:eastAsia="Times New Roman"/>
                <w:b w:val="0"/>
                <w:sz w:val="22"/>
              </w:rPr>
              <w:t>Pricing logic</w:t>
            </w:r>
          </w:p>
        </w:tc>
        <w:tc>
          <w:tcPr>
            <w:tcW w:type="dxa" w:w="3120"/>
          </w:tcPr>
          <w:p>
            <w:r/>
            <w:r>
              <w:rPr>
                <w:rFonts w:ascii="Times New Roman" w:hAnsi="Times New Roman" w:eastAsia="Times New Roman"/>
                <w:b w:val="0"/>
                <w:sz w:val="22"/>
              </w:rPr>
              <w:t>RP = LC x (1 + PM)</w:t>
            </w:r>
          </w:p>
        </w:tc>
        <w:tc>
          <w:tcPr>
            <w:tcW w:type="dxa" w:w="3120"/>
          </w:tcPr>
          <w:p>
            <w:r/>
            <w:r>
              <w:rPr>
                <w:rFonts w:ascii="Times New Roman" w:hAnsi="Times New Roman" w:eastAsia="Times New Roman"/>
                <w:b w:val="0"/>
                <w:sz w:val="22"/>
              </w:rPr>
              <w:t>Same formula + Margin-Guard FX alerts</w:t>
            </w:r>
          </w:p>
        </w:tc>
      </w:tr>
      <w:tr>
        <w:tc>
          <w:tcPr>
            <w:tcW w:type="dxa" w:w="3120"/>
          </w:tcPr>
          <w:p>
            <w:r/>
            <w:r>
              <w:rPr>
                <w:rFonts w:ascii="Times New Roman" w:hAnsi="Times New Roman" w:eastAsia="Times New Roman"/>
                <w:b w:val="0"/>
                <w:sz w:val="22"/>
              </w:rPr>
              <w:t>Cost allocation</w:t>
            </w:r>
          </w:p>
        </w:tc>
        <w:tc>
          <w:tcPr>
            <w:tcW w:type="dxa" w:w="3120"/>
          </w:tcPr>
          <w:p>
            <w:r/>
            <w:r>
              <w:rPr>
                <w:rFonts w:ascii="Times New Roman" w:hAnsi="Times New Roman" w:eastAsia="Times New Roman"/>
                <w:b w:val="0"/>
                <w:sz w:val="22"/>
              </w:rPr>
              <w:t>Weight or quantity</w:t>
            </w:r>
          </w:p>
        </w:tc>
        <w:tc>
          <w:tcPr>
            <w:tcW w:type="dxa" w:w="3120"/>
          </w:tcPr>
          <w:p>
            <w:r/>
            <w:r>
              <w:rPr>
                <w:rFonts w:ascii="Times New Roman" w:hAnsi="Times New Roman" w:eastAsia="Times New Roman"/>
                <w:b w:val="0"/>
                <w:sz w:val="22"/>
              </w:rPr>
              <w:t>Comparator across methods + user choice</w:t>
            </w:r>
          </w:p>
        </w:tc>
      </w:tr>
      <w:tr>
        <w:tc>
          <w:tcPr>
            <w:tcW w:type="dxa" w:w="3120"/>
          </w:tcPr>
          <w:p>
            <w:r/>
            <w:r>
              <w:rPr>
                <w:rFonts w:ascii="Times New Roman" w:hAnsi="Times New Roman" w:eastAsia="Times New Roman"/>
                <w:b w:val="0"/>
                <w:sz w:val="22"/>
              </w:rPr>
              <w:t>Cost entry / FX</w:t>
            </w:r>
          </w:p>
        </w:tc>
        <w:tc>
          <w:tcPr>
            <w:tcW w:type="dxa" w:w="3120"/>
          </w:tcPr>
          <w:p>
            <w:r/>
            <w:r>
              <w:rPr>
                <w:rFonts w:ascii="Times New Roman" w:hAnsi="Times New Roman" w:eastAsia="Times New Roman"/>
                <w:b w:val="0"/>
                <w:sz w:val="22"/>
              </w:rPr>
              <w:t>API conversion assumed</w:t>
            </w:r>
          </w:p>
        </w:tc>
        <w:tc>
          <w:tcPr>
            <w:tcW w:type="dxa" w:w="3120"/>
          </w:tcPr>
          <w:p>
            <w:r/>
            <w:r>
              <w:rPr>
                <w:rFonts w:ascii="Times New Roman" w:hAnsi="Times New Roman" w:eastAsia="Times New Roman"/>
                <w:b w:val="0"/>
                <w:sz w:val="22"/>
              </w:rPr>
              <w:t>Auto FX + Already-Local dual modes</w:t>
            </w:r>
          </w:p>
        </w:tc>
      </w:tr>
      <w:tr>
        <w:tc>
          <w:tcPr>
            <w:tcW w:type="dxa" w:w="3120"/>
          </w:tcPr>
          <w:p>
            <w:r/>
            <w:r>
              <w:rPr>
                <w:rFonts w:ascii="Times New Roman" w:hAnsi="Times New Roman" w:eastAsia="Times New Roman"/>
                <w:b w:val="0"/>
                <w:sz w:val="22"/>
              </w:rPr>
              <w:t>Shipper-converted amounts</w:t>
            </w:r>
          </w:p>
        </w:tc>
        <w:tc>
          <w:tcPr>
            <w:tcW w:type="dxa" w:w="3120"/>
          </w:tcPr>
          <w:p>
            <w:r/>
            <w:r>
              <w:rPr>
                <w:rFonts w:ascii="Times New Roman" w:hAnsi="Times New Roman" w:eastAsia="Times New Roman"/>
                <w:b w:val="0"/>
                <w:sz w:val="22"/>
              </w:rPr>
              <w:t>Not explicitly modelled</w:t>
            </w:r>
          </w:p>
        </w:tc>
        <w:tc>
          <w:tcPr>
            <w:tcW w:type="dxa" w:w="3120"/>
          </w:tcPr>
          <w:p>
            <w:r/>
            <w:r>
              <w:rPr>
                <w:rFonts w:ascii="Times New Roman" w:hAnsi="Times New Roman" w:eastAsia="Times New Roman"/>
                <w:b w:val="0"/>
                <w:sz w:val="22"/>
              </w:rPr>
              <w:t>Already-Local mode accepts and audits them</w:t>
            </w:r>
          </w:p>
        </w:tc>
      </w:tr>
      <w:tr>
        <w:tc>
          <w:tcPr>
            <w:tcW w:type="dxa" w:w="3120"/>
          </w:tcPr>
          <w:p>
            <w:r/>
            <w:r>
              <w:rPr>
                <w:rFonts w:ascii="Times New Roman" w:hAnsi="Times New Roman" w:eastAsia="Times New Roman"/>
                <w:b w:val="0"/>
                <w:sz w:val="22"/>
              </w:rPr>
              <w:t>Transparency</w:t>
            </w:r>
          </w:p>
        </w:tc>
        <w:tc>
          <w:tcPr>
            <w:tcW w:type="dxa" w:w="3120"/>
          </w:tcPr>
          <w:p>
            <w:r/>
            <w:r>
              <w:rPr>
                <w:rFonts w:ascii="Times New Roman" w:hAnsi="Times New Roman" w:eastAsia="Times New Roman"/>
                <w:b w:val="0"/>
                <w:sz w:val="22"/>
              </w:rPr>
              <w:t>Implied by formula</w:t>
            </w:r>
          </w:p>
        </w:tc>
        <w:tc>
          <w:tcPr>
            <w:tcW w:type="dxa" w:w="3120"/>
          </w:tcPr>
          <w:p>
            <w:r/>
            <w:r>
              <w:rPr>
                <w:rFonts w:ascii="Times New Roman" w:hAnsi="Times New Roman" w:eastAsia="Times New Roman"/>
                <w:b w:val="0"/>
                <w:sz w:val="22"/>
              </w:rPr>
              <w:t>True-Cost Ledger / audit trail</w:t>
            </w:r>
          </w:p>
        </w:tc>
      </w:tr>
      <w:tr>
        <w:tc>
          <w:tcPr>
            <w:tcW w:type="dxa" w:w="3120"/>
          </w:tcPr>
          <w:p>
            <w:r/>
            <w:r>
              <w:rPr>
                <w:rFonts w:ascii="Times New Roman" w:hAnsi="Times New Roman" w:eastAsia="Times New Roman"/>
                <w:b w:val="0"/>
                <w:sz w:val="22"/>
              </w:rPr>
              <w:t>Uniqueness evidence</w:t>
            </w:r>
          </w:p>
        </w:tc>
        <w:tc>
          <w:tcPr>
            <w:tcW w:type="dxa" w:w="3120"/>
          </w:tcPr>
          <w:p>
            <w:r/>
            <w:r>
              <w:rPr>
                <w:rFonts w:ascii="Times New Roman" w:hAnsi="Times New Roman" w:eastAsia="Times New Roman"/>
                <w:b w:val="0"/>
                <w:sz w:val="22"/>
              </w:rPr>
              <w:t>Mostly descriptive</w:t>
            </w:r>
          </w:p>
        </w:tc>
        <w:tc>
          <w:tcPr>
            <w:tcW w:type="dxa" w:w="3120"/>
          </w:tcPr>
          <w:p>
            <w:r/>
            <w:r>
              <w:rPr>
                <w:rFonts w:ascii="Times New Roman" w:hAnsi="Times New Roman" w:eastAsia="Times New Roman"/>
                <w:b w:val="0"/>
                <w:sz w:val="22"/>
              </w:rPr>
              <w:t>Explicit contrast + evaluation metrics</w:t>
            </w:r>
          </w:p>
        </w:tc>
      </w:tr>
      <w:tr>
        <w:tc>
          <w:tcPr>
            <w:tcW w:type="dxa" w:w="3120"/>
          </w:tcPr>
          <w:p>
            <w:r/>
            <w:r>
              <w:rPr>
                <w:rFonts w:ascii="Times New Roman" w:hAnsi="Times New Roman" w:eastAsia="Times New Roman"/>
                <w:b w:val="0"/>
                <w:sz w:val="22"/>
              </w:rPr>
              <w:t>Methodology</w:t>
            </w:r>
          </w:p>
        </w:tc>
        <w:tc>
          <w:tcPr>
            <w:tcW w:type="dxa" w:w="3120"/>
          </w:tcPr>
          <w:p>
            <w:r/>
            <w:r>
              <w:rPr>
                <w:rFonts w:ascii="Times New Roman" w:hAnsi="Times New Roman" w:eastAsia="Times New Roman"/>
                <w:b w:val="0"/>
                <w:sz w:val="22"/>
              </w:rPr>
              <w:t>Pure Waterfall</w:t>
            </w:r>
          </w:p>
        </w:tc>
        <w:tc>
          <w:tcPr>
            <w:tcW w:type="dxa" w:w="3120"/>
          </w:tcPr>
          <w:p>
            <w:r/>
            <w:r>
              <w:rPr>
                <w:rFonts w:ascii="Times New Roman" w:hAnsi="Times New Roman" w:eastAsia="Times New Roman"/>
                <w:b w:val="0"/>
                <w:sz w:val="22"/>
              </w:rPr>
              <w:t>Waterfall with module verification loops</w:t>
            </w:r>
          </w:p>
        </w:tc>
      </w:tr>
      <w:tr>
        <w:tc>
          <w:tcPr>
            <w:tcW w:type="dxa" w:w="3120"/>
          </w:tcPr>
          <w:p>
            <w:r/>
            <w:r>
              <w:rPr>
                <w:rFonts w:ascii="Times New Roman" w:hAnsi="Times New Roman" w:eastAsia="Times New Roman"/>
                <w:b w:val="0"/>
                <w:sz w:val="22"/>
              </w:rPr>
              <w:t>Frontend priority</w:t>
            </w:r>
          </w:p>
        </w:tc>
        <w:tc>
          <w:tcPr>
            <w:tcW w:type="dxa" w:w="3120"/>
          </w:tcPr>
          <w:p>
            <w:r/>
            <w:r>
              <w:rPr>
                <w:rFonts w:ascii="Times New Roman" w:hAnsi="Times New Roman" w:eastAsia="Times New Roman"/>
                <w:b w:val="0"/>
                <w:sz w:val="22"/>
              </w:rPr>
              <w:t>React Native</w:t>
            </w:r>
          </w:p>
        </w:tc>
        <w:tc>
          <w:tcPr>
            <w:tcW w:type="dxa" w:w="3120"/>
          </w:tcPr>
          <w:p>
            <w:r/>
            <w:r>
              <w:rPr>
                <w:rFonts w:ascii="Times New Roman" w:hAnsi="Times New Roman" w:eastAsia="Times New Roman"/>
                <w:b w:val="0"/>
                <w:sz w:val="22"/>
              </w:rPr>
              <w:t>React web admin first; mobile optional</w:t>
            </w:r>
          </w:p>
        </w:tc>
      </w:tr>
      <w:tr>
        <w:tc>
          <w:tcPr>
            <w:tcW w:type="dxa" w:w="3120"/>
          </w:tcPr>
          <w:p>
            <w:r/>
            <w:r>
              <w:rPr>
                <w:rFonts w:ascii="Times New Roman" w:hAnsi="Times New Roman" w:eastAsia="Times New Roman"/>
                <w:b w:val="0"/>
                <w:sz w:val="22"/>
              </w:rPr>
              <w:t>Success definition</w:t>
            </w:r>
          </w:p>
        </w:tc>
        <w:tc>
          <w:tcPr>
            <w:tcW w:type="dxa" w:w="3120"/>
          </w:tcPr>
          <w:p>
            <w:r/>
            <w:r>
              <w:rPr>
                <w:rFonts w:ascii="Times New Roman" w:hAnsi="Times New Roman" w:eastAsia="Times New Roman"/>
                <w:b w:val="0"/>
                <w:sz w:val="22"/>
              </w:rPr>
              <w:t>Working prototype + docs</w:t>
            </w:r>
          </w:p>
        </w:tc>
        <w:tc>
          <w:tcPr>
            <w:tcW w:type="dxa" w:w="3120"/>
          </w:tcPr>
          <w:p>
            <w:r/>
            <w:r>
              <w:rPr>
                <w:rFonts w:ascii="Times New Roman" w:hAnsi="Times New Roman" w:eastAsia="Times New Roman"/>
                <w:b w:val="0"/>
                <w:sz w:val="22"/>
              </w:rPr>
              <w:t>Prototype + spreadsheet baseline evaluation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