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951F3" w14:textId="77777777" w:rsidR="008F5EDE" w:rsidRDefault="008F5EDE" w:rsidP="008F5EDE">
      <w:pPr>
        <w:pStyle w:val="Heading1"/>
        <w:jc w:val="center"/>
      </w:pPr>
      <w:bookmarkStart w:id="0" w:name="_Toc528662558"/>
      <w:bookmarkStart w:id="1" w:name="_Toc528672421"/>
      <w:r>
        <w:t>GST at Settlement</w:t>
      </w:r>
      <w:bookmarkEnd w:id="0"/>
      <w:bookmarkEnd w:id="1"/>
    </w:p>
    <w:p w14:paraId="00B99EC3" w14:textId="77777777" w:rsidR="008F5EDE" w:rsidRDefault="008F5EDE" w:rsidP="008F5EDE"/>
    <w:sdt>
      <w:sdtPr>
        <w:rPr>
          <w:rFonts w:ascii="Times New Roman" w:eastAsia="Batang" w:hAnsi="Times New Roman" w:cs="Times New Roman"/>
          <w:color w:val="auto"/>
          <w:sz w:val="22"/>
          <w:szCs w:val="24"/>
          <w:lang w:val="en-AU"/>
        </w:rPr>
        <w:id w:val="201904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0C5D41" w14:textId="77777777" w:rsidR="00A218C1" w:rsidRDefault="00A218C1">
          <w:pPr>
            <w:pStyle w:val="TOCHeading"/>
          </w:pPr>
          <w:r>
            <w:t>Contents</w:t>
          </w:r>
        </w:p>
        <w:p w14:paraId="24F5EFEF" w14:textId="00CB2B3D" w:rsidR="00ED01FA" w:rsidRDefault="00A218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672421" w:history="1">
            <w:r w:rsidR="00ED01FA" w:rsidRPr="00F15BB6">
              <w:rPr>
                <w:rStyle w:val="Hyperlink"/>
                <w:noProof/>
              </w:rPr>
              <w:t>GST at Settlement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_Toc528672421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1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0A02647E" w14:textId="7F92838D" w:rsidR="00ED01FA" w:rsidRDefault="00F669B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2" w:history="1">
            <w:r w:rsidR="00ED01FA" w:rsidRPr="00F15BB6">
              <w:rPr>
                <w:rStyle w:val="Hyperlink"/>
                <w:noProof/>
              </w:rPr>
              <w:t>RuleBase Logic - Purchaser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_Toc528672422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18D5DFE3" w14:textId="0ED71112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3" w:history="1">
            <w:r w:rsidR="00ED01FA" w:rsidRPr="00F15BB6">
              <w:rPr>
                <w:rStyle w:val="Hyperlink"/>
                <w:i/>
                <w:noProof/>
              </w:rPr>
              <w:t>Interview Purpose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_Toc528672423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5FFABE16" w14:textId="2E99024F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4" w:history="1">
            <w:r w:rsidR="00ED01FA" w:rsidRPr="00F15BB6">
              <w:rPr>
                <w:rStyle w:val="Hyperlink"/>
                <w:noProof/>
              </w:rPr>
              <w:t>The person is a purchaser of property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_Toc528672424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315B3BCB" w14:textId="1C6B4903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5" w:history="1">
            <w:r w:rsidR="00ED01FA" w:rsidRPr="00F15BB6">
              <w:rPr>
                <w:rStyle w:val="Hyperlink"/>
                <w:noProof/>
              </w:rPr>
              <w:t>The person is a seller of property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_Toc528672425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1411A082" w14:textId="146992AF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6" w:history="1">
            <w:r w:rsidR="00ED01FA" w:rsidRPr="00F15BB6">
              <w:rPr>
                <w:rStyle w:val="Hyperlink"/>
                <w:noProof/>
              </w:rPr>
              <w:t>[Treasury Laws Amendment (2018 Measures No.1) Act 2018 - Schedule 5 (14-250(] The purchaser will be liable to pay an amount to the Commissioner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_Toc528672426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034752D4" w14:textId="345A23DF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7" w:history="1">
            <w:r w:rsidR="00ED01FA" w:rsidRPr="00F15BB6">
              <w:rPr>
                <w:rStyle w:val="Hyperlink"/>
                <w:noProof/>
              </w:rPr>
              <w:t>the purchaser is not defined as a ‘recipient' of a taxable supply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_Toc528672427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624139F3" w14:textId="4FDA9C4F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8" w:history="1">
            <w:r w:rsidR="00ED01FA" w:rsidRPr="00F15BB6">
              <w:rPr>
                <w:rStyle w:val="Hyperlink"/>
                <w:noProof/>
              </w:rPr>
              <w:t>The Transitional Rules do not apply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_Toc528672428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7B58FC30" w14:textId="202AAA28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9" w:history="1">
            <w:r w:rsidR="00ED01FA" w:rsidRPr="00F15BB6">
              <w:rPr>
                <w:rStyle w:val="Hyperlink"/>
                <w:noProof/>
              </w:rPr>
              <w:t>The supply is defined to be of new residential premises or of potential residential land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_Toc528672429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3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1FCFB746" w14:textId="10E49146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30" w:history="1">
            <w:r w:rsidR="00ED01FA" w:rsidRPr="00F15BB6">
              <w:rPr>
                <w:rStyle w:val="Hyperlink"/>
                <w:noProof/>
              </w:rPr>
              <w:t>The supply is defined to be of potential residential land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_Toc528672430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3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7EB6B964" w14:textId="2FF2606D" w:rsidR="00ED01FA" w:rsidRDefault="00F669B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31" w:history="1">
            <w:r w:rsidR="00ED01FA" w:rsidRPr="00F15BB6">
              <w:rPr>
                <w:rStyle w:val="Hyperlink"/>
                <w:noProof/>
              </w:rPr>
              <w:t>The supply is defined to be of new residential premises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_Toc528672431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3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473E19D6" w14:textId="390C3910" w:rsidR="00A218C1" w:rsidRDefault="00A218C1">
          <w:r>
            <w:rPr>
              <w:b/>
              <w:bCs/>
              <w:noProof/>
            </w:rPr>
            <w:fldChar w:fldCharType="end"/>
          </w:r>
        </w:p>
      </w:sdtContent>
    </w:sdt>
    <w:p w14:paraId="34720022" w14:textId="77777777" w:rsidR="00A218C1" w:rsidRDefault="00A218C1">
      <w:pPr>
        <w:spacing w:after="0"/>
      </w:pPr>
    </w:p>
    <w:p w14:paraId="147BE694" w14:textId="77777777" w:rsidR="008F5EDE" w:rsidRDefault="00A218C1" w:rsidP="00A218C1">
      <w:pPr>
        <w:spacing w:after="0"/>
      </w:pPr>
      <w:r>
        <w:br w:type="page"/>
      </w:r>
    </w:p>
    <w:p w14:paraId="3DFB5B41" w14:textId="77777777" w:rsidR="00A218C1" w:rsidRDefault="00A218C1" w:rsidP="00AA3B7E">
      <w:pPr>
        <w:pStyle w:val="OPM-blankline"/>
      </w:pPr>
    </w:p>
    <w:p w14:paraId="6EE89B6F" w14:textId="4FE992DE" w:rsidR="00813B09" w:rsidRDefault="00813B09" w:rsidP="00813B09">
      <w:pPr>
        <w:pStyle w:val="Heading2"/>
        <w:jc w:val="center"/>
      </w:pPr>
      <w:bookmarkStart w:id="2" w:name="_Toc528672422"/>
      <w:r>
        <w:t>RuleBase Logic</w:t>
      </w:r>
      <w:r w:rsidR="00DA4A2C">
        <w:t xml:space="preserve"> - Purchaser</w:t>
      </w:r>
      <w:bookmarkEnd w:id="2"/>
    </w:p>
    <w:p w14:paraId="6C9FF4D2" w14:textId="77777777" w:rsidR="00813B09" w:rsidRDefault="00813B09" w:rsidP="00813B09"/>
    <w:p w14:paraId="4F801419" w14:textId="77777777" w:rsidR="00A218C1" w:rsidRPr="00120091" w:rsidRDefault="00813B09" w:rsidP="00120091">
      <w:pPr>
        <w:pStyle w:val="Heading3"/>
        <w:jc w:val="center"/>
        <w:rPr>
          <w:i/>
        </w:rPr>
      </w:pPr>
      <w:bookmarkStart w:id="3" w:name="_Toc528672423"/>
      <w:r w:rsidRPr="00120091">
        <w:rPr>
          <w:i/>
        </w:rPr>
        <w:t>Interview Purpose</w:t>
      </w:r>
      <w:bookmarkEnd w:id="3"/>
    </w:p>
    <w:p w14:paraId="7F8FEE00" w14:textId="77777777" w:rsidR="004F312D" w:rsidRPr="00646E56" w:rsidRDefault="00904BC6" w:rsidP="00481669">
      <w:pPr>
        <w:pStyle w:val="OPM-conclusion"/>
      </w:pPr>
      <w:bookmarkStart w:id="4" w:name="_Toc528662559"/>
      <w:bookmarkStart w:id="5" w:name="_Toc528672424"/>
      <w:r w:rsidRPr="00646E56">
        <w:t>The person is a purchaser of property if</w:t>
      </w:r>
      <w:bookmarkEnd w:id="4"/>
      <w:bookmarkEnd w:id="5"/>
    </w:p>
    <w:p w14:paraId="4FAA7DEB" w14:textId="77777777" w:rsidR="007D4328" w:rsidRPr="00646E56" w:rsidRDefault="003128E4" w:rsidP="007D4328">
      <w:pPr>
        <w:pStyle w:val="OPM-level1"/>
      </w:pPr>
      <w:r w:rsidRPr="00646E56">
        <w:rPr>
          <w:u w:val="single" w:color="666699"/>
        </w:rPr>
        <w:t>The pe</w:t>
      </w:r>
      <w:r w:rsidR="007D4328" w:rsidRPr="00646E56">
        <w:rPr>
          <w:u w:val="single" w:color="666699"/>
        </w:rPr>
        <w:t>rson</w:t>
      </w:r>
      <w:r w:rsidR="007D4328" w:rsidRPr="00646E56">
        <w:t xml:space="preserve"> = “Purchaser”.</w:t>
      </w:r>
    </w:p>
    <w:p w14:paraId="5AAD8D64" w14:textId="77777777" w:rsidR="003128E4" w:rsidRPr="00342FBF" w:rsidRDefault="003128E4" w:rsidP="008C7B14">
      <w:pPr>
        <w:pStyle w:val="OPM-blankline"/>
      </w:pPr>
    </w:p>
    <w:p w14:paraId="4F161A2E" w14:textId="77777777" w:rsidR="00904BC6" w:rsidRPr="00646E56" w:rsidRDefault="0007295E" w:rsidP="003128E4">
      <w:pPr>
        <w:pStyle w:val="OPM-conclusion"/>
        <w:ind w:left="0" w:firstLine="0"/>
      </w:pPr>
      <w:bookmarkStart w:id="6" w:name="_Toc528662560"/>
      <w:bookmarkStart w:id="7" w:name="_Toc528672425"/>
      <w:r w:rsidRPr="00646E56">
        <w:t>The person is a seller of property if</w:t>
      </w:r>
      <w:bookmarkEnd w:id="6"/>
      <w:bookmarkEnd w:id="7"/>
    </w:p>
    <w:p w14:paraId="06B82D40" w14:textId="52C20E72" w:rsidR="005D18BF" w:rsidRPr="00646E56" w:rsidRDefault="00DE5D10" w:rsidP="00F93B48">
      <w:pPr>
        <w:pStyle w:val="OPM-level1"/>
      </w:pPr>
      <w:r w:rsidRPr="00646E56">
        <w:rPr>
          <w:u w:val="single" w:color="666699"/>
        </w:rPr>
        <w:t>T</w:t>
      </w:r>
      <w:r w:rsidR="007D4328" w:rsidRPr="00646E56">
        <w:rPr>
          <w:u w:val="single" w:color="666699"/>
        </w:rPr>
        <w:t>he person</w:t>
      </w:r>
      <w:r w:rsidR="007D4328" w:rsidRPr="00646E56">
        <w:t xml:space="preserve"> = “</w:t>
      </w:r>
      <w:r w:rsidR="00F40CB0" w:rsidRPr="00646E56">
        <w:t>Seller</w:t>
      </w:r>
      <w:r w:rsidR="007D4328" w:rsidRPr="00646E56">
        <w:t>”.</w:t>
      </w:r>
    </w:p>
    <w:p w14:paraId="6558BDF1" w14:textId="77777777" w:rsidR="00F93B48" w:rsidRDefault="00F93B48" w:rsidP="00F93B48"/>
    <w:p w14:paraId="62ACA90B" w14:textId="3E596F39" w:rsidR="00B0336A" w:rsidRPr="00F93B48" w:rsidRDefault="00F93B48" w:rsidP="00F93B48">
      <w:pPr>
        <w:pStyle w:val="Heading3"/>
        <w:jc w:val="center"/>
        <w:rPr>
          <w:i/>
        </w:rPr>
      </w:pPr>
      <w:r>
        <w:rPr>
          <w:i/>
        </w:rPr>
        <w:t>Index Logic</w:t>
      </w:r>
    </w:p>
    <w:p w14:paraId="14DDFF10" w14:textId="48E894AA" w:rsidR="008B5639" w:rsidRPr="00646E56" w:rsidRDefault="004E0D9C" w:rsidP="000E46DD">
      <w:pPr>
        <w:pStyle w:val="OPM-conclusion"/>
      </w:pPr>
      <w:bookmarkStart w:id="8" w:name="_Toc528662561"/>
      <w:bookmarkStart w:id="9" w:name="_Toc528672426"/>
      <w:r w:rsidRPr="00646E56">
        <w:rPr>
          <w:color w:val="808080" w:themeColor="background1" w:themeShade="80"/>
          <w:sz w:val="14"/>
        </w:rPr>
        <w:t>[Taxation Administration Act 1953 (Cth) 14-250</w:t>
      </w:r>
      <w:r w:rsidR="00237B06" w:rsidRPr="00646E56">
        <w:rPr>
          <w:color w:val="808080" w:themeColor="background1" w:themeShade="80"/>
          <w:sz w:val="14"/>
        </w:rPr>
        <w:t>]</w:t>
      </w:r>
      <w:r w:rsidR="00237B06" w:rsidRPr="00646E56">
        <w:t xml:space="preserve"> The</w:t>
      </w:r>
      <w:r w:rsidR="000E46DD" w:rsidRPr="00646E56">
        <w:t xml:space="preserve"> purchaser </w:t>
      </w:r>
      <w:bookmarkEnd w:id="8"/>
      <w:r w:rsidR="00237B06" w:rsidRPr="00646E56">
        <w:t>will be liable to pay an amount to the Commissioner if</w:t>
      </w:r>
      <w:bookmarkEnd w:id="9"/>
    </w:p>
    <w:p w14:paraId="238ECA27" w14:textId="77777777" w:rsidR="00C74861" w:rsidRPr="00646E56" w:rsidRDefault="00C74861" w:rsidP="000E46DD">
      <w:pPr>
        <w:pStyle w:val="OPM-level1"/>
      </w:pPr>
      <w:r w:rsidRPr="00646E56">
        <w:t>Either</w:t>
      </w:r>
    </w:p>
    <w:p w14:paraId="37EDFCA1" w14:textId="7A97E023" w:rsidR="000E46DD" w:rsidRPr="00646E56" w:rsidRDefault="00237B06" w:rsidP="00C74861">
      <w:pPr>
        <w:pStyle w:val="OPM-level2"/>
      </w:pPr>
      <w:r w:rsidRPr="00646E56">
        <w:rPr>
          <w:color w:val="808080" w:themeColor="background1" w:themeShade="80"/>
          <w:sz w:val="14"/>
        </w:rPr>
        <w:t>[(1)(a)]</w:t>
      </w:r>
      <w:r w:rsidRPr="00646E56">
        <w:t xml:space="preserve"> </w:t>
      </w:r>
      <w:r w:rsidR="00CA3DB8" w:rsidRPr="00646E56">
        <w:rPr>
          <w:u w:val="single" w:color="666699"/>
        </w:rPr>
        <w:t>The</w:t>
      </w:r>
      <w:r w:rsidR="004B62C5" w:rsidRPr="00646E56">
        <w:rPr>
          <w:u w:val="single" w:color="666699"/>
        </w:rPr>
        <w:t xml:space="preserve"> user know</w:t>
      </w:r>
      <w:r w:rsidR="00CA3DB8" w:rsidRPr="00646E56">
        <w:rPr>
          <w:u w:val="single" w:color="666699"/>
        </w:rPr>
        <w:t>s</w:t>
      </w:r>
      <w:r w:rsidR="004B62C5" w:rsidRPr="00646E56">
        <w:rPr>
          <w:u w:val="single" w:color="666699"/>
        </w:rPr>
        <w:t xml:space="preserve"> that the </w:t>
      </w:r>
      <w:r w:rsidR="00783F2A" w:rsidRPr="00646E56">
        <w:rPr>
          <w:u w:val="single" w:color="666699"/>
        </w:rPr>
        <w:t>purchaser is</w:t>
      </w:r>
      <w:r w:rsidR="00824DEB" w:rsidRPr="00646E56">
        <w:rPr>
          <w:u w:val="single" w:color="666699"/>
        </w:rPr>
        <w:t xml:space="preserve"> a</w:t>
      </w:r>
      <w:r w:rsidR="004B62C5" w:rsidRPr="00646E56">
        <w:rPr>
          <w:u w:val="single" w:color="666699"/>
        </w:rPr>
        <w:t xml:space="preserve"> </w:t>
      </w:r>
      <w:r w:rsidR="00B51C3E" w:rsidRPr="00646E56">
        <w:rPr>
          <w:u w:val="single" w:color="666699"/>
        </w:rPr>
        <w:t>‘</w:t>
      </w:r>
      <w:r w:rsidR="000E46DD" w:rsidRPr="00646E56">
        <w:rPr>
          <w:u w:val="single" w:color="666699"/>
        </w:rPr>
        <w:t>recipient</w:t>
      </w:r>
      <w:r w:rsidR="00B51C3E" w:rsidRPr="00646E56">
        <w:rPr>
          <w:u w:val="single" w:color="666699"/>
        </w:rPr>
        <w:t>’</w:t>
      </w:r>
      <w:r w:rsidR="000E46DD" w:rsidRPr="00646E56">
        <w:rPr>
          <w:u w:val="single" w:color="666699"/>
        </w:rPr>
        <w:t xml:space="preserve"> of a </w:t>
      </w:r>
      <w:r w:rsidR="00B51C3E" w:rsidRPr="00646E56">
        <w:rPr>
          <w:u w:val="single" w:color="666699"/>
        </w:rPr>
        <w:t>‘</w:t>
      </w:r>
      <w:r w:rsidR="000E46DD" w:rsidRPr="00646E56">
        <w:rPr>
          <w:u w:val="single" w:color="666699"/>
        </w:rPr>
        <w:t>taxable supply</w:t>
      </w:r>
      <w:r w:rsidR="00B51C3E" w:rsidRPr="00646E56">
        <w:rPr>
          <w:u w:val="single" w:color="666699"/>
        </w:rPr>
        <w:t>’</w:t>
      </w:r>
      <w:r w:rsidR="006B51CD" w:rsidRPr="00646E56">
        <w:t xml:space="preserve"> = “Yes”</w:t>
      </w:r>
    </w:p>
    <w:p w14:paraId="40018AC0" w14:textId="2A0161B9" w:rsidR="007E3B80" w:rsidRPr="00646E56" w:rsidRDefault="00237B06" w:rsidP="007E3B80">
      <w:pPr>
        <w:pStyle w:val="OPM-level2"/>
      </w:pPr>
      <w:r w:rsidRPr="00646E56">
        <w:rPr>
          <w:color w:val="808080" w:themeColor="background1" w:themeShade="80"/>
          <w:sz w:val="14"/>
        </w:rPr>
        <w:t>[(1)(a)]</w:t>
      </w:r>
      <w:r w:rsidRPr="00646E56">
        <w:t xml:space="preserve"> </w:t>
      </w:r>
      <w:r w:rsidR="006D7400" w:rsidRPr="00646E56">
        <w:t>The purchaser is</w:t>
      </w:r>
      <w:r w:rsidR="00C74861" w:rsidRPr="00646E56">
        <w:t xml:space="preserve"> a ‘recipient’ of a </w:t>
      </w:r>
      <w:r w:rsidR="00DD53BC" w:rsidRPr="00646E56">
        <w:t>‘</w:t>
      </w:r>
      <w:r w:rsidR="00C74861" w:rsidRPr="00646E56">
        <w:t>taxable supply</w:t>
      </w:r>
      <w:r w:rsidR="00DD53BC" w:rsidRPr="00646E56">
        <w:t>’</w:t>
      </w:r>
      <w:r w:rsidR="00C74861" w:rsidRPr="00646E56">
        <w:t>.</w:t>
      </w:r>
    </w:p>
    <w:p w14:paraId="1634AE8F" w14:textId="77777777" w:rsidR="001E4FC9" w:rsidRPr="00646E56" w:rsidRDefault="0066034A" w:rsidP="00FB10D7">
      <w:pPr>
        <w:pStyle w:val="OPM-level1"/>
      </w:pPr>
      <w:r w:rsidRPr="00646E56">
        <w:t>AND</w:t>
      </w:r>
    </w:p>
    <w:p w14:paraId="7E19705F" w14:textId="77777777" w:rsidR="00FB10D7" w:rsidRPr="00646E56" w:rsidRDefault="00FB10D7" w:rsidP="00FB10D7">
      <w:pPr>
        <w:pStyle w:val="OPM-level1"/>
      </w:pPr>
      <w:r w:rsidRPr="00646E56">
        <w:t>Either</w:t>
      </w:r>
    </w:p>
    <w:p w14:paraId="30F8F735" w14:textId="7F156299" w:rsidR="00FB10D7" w:rsidRPr="00646E56" w:rsidRDefault="00646B07" w:rsidP="00CA3DB8">
      <w:pPr>
        <w:pStyle w:val="OPM-level2"/>
        <w:rPr>
          <w:u w:color="666699"/>
        </w:rPr>
      </w:pPr>
      <w:r w:rsidRPr="00646E56">
        <w:rPr>
          <w:color w:val="808080" w:themeColor="background1" w:themeShade="80"/>
          <w:sz w:val="14"/>
        </w:rPr>
        <w:t>[(2)</w:t>
      </w:r>
      <w:r w:rsidR="00F93B48" w:rsidRPr="00646E56">
        <w:rPr>
          <w:color w:val="808080" w:themeColor="background1" w:themeShade="80"/>
          <w:sz w:val="14"/>
        </w:rPr>
        <w:t>]</w:t>
      </w:r>
      <w:r w:rsidR="00F93B48" w:rsidRPr="00646E56">
        <w:t xml:space="preserve"> </w:t>
      </w:r>
      <w:r w:rsidR="00CA3DB8" w:rsidRPr="00646E56">
        <w:rPr>
          <w:u w:val="single" w:color="666699"/>
        </w:rPr>
        <w:t>T</w:t>
      </w:r>
      <w:r w:rsidR="003B3AF6" w:rsidRPr="00646E56">
        <w:rPr>
          <w:u w:val="single" w:color="666699"/>
        </w:rPr>
        <w:t>he user know</w:t>
      </w:r>
      <w:r w:rsidR="00CA3DB8" w:rsidRPr="00646E56">
        <w:rPr>
          <w:u w:val="single" w:color="666699"/>
        </w:rPr>
        <w:t>s</w:t>
      </w:r>
      <w:r w:rsidR="003B3AF6" w:rsidRPr="00646E56">
        <w:rPr>
          <w:u w:val="single" w:color="666699"/>
        </w:rPr>
        <w:t xml:space="preserve"> that the </w:t>
      </w:r>
      <w:r w:rsidR="00BC0ADD" w:rsidRPr="00646E56">
        <w:rPr>
          <w:u w:val="single" w:color="666699"/>
        </w:rPr>
        <w:t>supply</w:t>
      </w:r>
      <w:r w:rsidR="00C2624A" w:rsidRPr="00646E56">
        <w:rPr>
          <w:u w:val="single" w:color="666699"/>
        </w:rPr>
        <w:t xml:space="preserve"> is</w:t>
      </w:r>
      <w:r w:rsidR="00E82780" w:rsidRPr="00646E56">
        <w:rPr>
          <w:u w:val="single" w:color="666699"/>
        </w:rPr>
        <w:t xml:space="preserve"> by w</w:t>
      </w:r>
      <w:r w:rsidR="00BC0ADD" w:rsidRPr="00646E56">
        <w:rPr>
          <w:u w:val="single" w:color="666699"/>
        </w:rPr>
        <w:t>ay of sale of long-term lease</w:t>
      </w:r>
      <w:r w:rsidR="00BC0ADD" w:rsidRPr="00646E56">
        <w:t xml:space="preserve"> = “Yes”</w:t>
      </w:r>
      <w:r w:rsidR="005B05B5" w:rsidRPr="00646E56">
        <w:t xml:space="preserve"> </w:t>
      </w:r>
    </w:p>
    <w:p w14:paraId="5A30681F" w14:textId="3C5BD717" w:rsidR="00E82780" w:rsidRPr="00646E56" w:rsidRDefault="00646B07" w:rsidP="00FB10D7">
      <w:pPr>
        <w:pStyle w:val="OPM-level2"/>
      </w:pPr>
      <w:r w:rsidRPr="00646E56">
        <w:rPr>
          <w:color w:val="808080" w:themeColor="background1" w:themeShade="80"/>
          <w:sz w:val="14"/>
        </w:rPr>
        <w:t>[(2)</w:t>
      </w:r>
      <w:r w:rsidR="00F93B48" w:rsidRPr="00646E56">
        <w:rPr>
          <w:color w:val="808080" w:themeColor="background1" w:themeShade="80"/>
          <w:sz w:val="14"/>
        </w:rPr>
        <w:t>]</w:t>
      </w:r>
      <w:r w:rsidR="00F93B48" w:rsidRPr="00646E56">
        <w:t xml:space="preserve"> </w:t>
      </w:r>
      <w:r w:rsidR="00907173" w:rsidRPr="00646E56">
        <w:t xml:space="preserve">The supply is by way </w:t>
      </w:r>
      <w:r w:rsidR="00E82780" w:rsidRPr="00646E56">
        <w:t>of sale or long-term lease.</w:t>
      </w:r>
    </w:p>
    <w:p w14:paraId="0E174C20" w14:textId="77777777" w:rsidR="0042488B" w:rsidRPr="00646E56" w:rsidRDefault="0066034A" w:rsidP="0042488B">
      <w:pPr>
        <w:pStyle w:val="OPM-level1"/>
      </w:pPr>
      <w:r w:rsidRPr="00646E56">
        <w:t>AND</w:t>
      </w:r>
    </w:p>
    <w:p w14:paraId="2ED01974" w14:textId="2585F9AA" w:rsidR="0042488B" w:rsidRPr="00646E56" w:rsidRDefault="0042488B" w:rsidP="0042488B">
      <w:pPr>
        <w:pStyle w:val="OPM-level1"/>
      </w:pPr>
      <w:r w:rsidRPr="00646E56">
        <w:t>Either</w:t>
      </w:r>
    </w:p>
    <w:p w14:paraId="006D48F7" w14:textId="298814B3" w:rsidR="0042488B" w:rsidRPr="00646E56" w:rsidRDefault="00646B07" w:rsidP="0042488B">
      <w:pPr>
        <w:pStyle w:val="OPM-level2"/>
      </w:pPr>
      <w:r w:rsidRPr="00646E56">
        <w:rPr>
          <w:color w:val="808080" w:themeColor="background1" w:themeShade="80"/>
          <w:sz w:val="14"/>
        </w:rPr>
        <w:t>[(2)(a)</w:t>
      </w:r>
      <w:r w:rsidR="00F93B48" w:rsidRPr="00646E56">
        <w:rPr>
          <w:color w:val="808080" w:themeColor="background1" w:themeShade="80"/>
          <w:sz w:val="14"/>
        </w:rPr>
        <w:t>]</w:t>
      </w:r>
      <w:r w:rsidR="009F6839" w:rsidRPr="00646E56">
        <w:t xml:space="preserve"> </w:t>
      </w:r>
      <w:r w:rsidR="00501E2E" w:rsidRPr="00646E56">
        <w:rPr>
          <w:u w:val="single" w:color="666699"/>
        </w:rPr>
        <w:t>T</w:t>
      </w:r>
      <w:r w:rsidR="00452EFA" w:rsidRPr="00646E56">
        <w:rPr>
          <w:u w:val="single" w:color="666699"/>
        </w:rPr>
        <w:t>he user know</w:t>
      </w:r>
      <w:r w:rsidR="00501E2E" w:rsidRPr="00646E56">
        <w:rPr>
          <w:u w:val="single" w:color="666699"/>
        </w:rPr>
        <w:t>s</w:t>
      </w:r>
      <w:r w:rsidR="00452EFA" w:rsidRPr="00646E56">
        <w:rPr>
          <w:u w:val="single" w:color="666699"/>
        </w:rPr>
        <w:t xml:space="preserve"> that the supply is</w:t>
      </w:r>
      <w:r w:rsidR="0066034A" w:rsidRPr="00646E56">
        <w:rPr>
          <w:u w:val="single" w:color="666699"/>
        </w:rPr>
        <w:t xml:space="preserve"> of new residential premises o</w:t>
      </w:r>
      <w:r w:rsidR="00452EFA" w:rsidRPr="00646E56">
        <w:rPr>
          <w:u w:val="single" w:color="666699"/>
        </w:rPr>
        <w:t>r of potential residential land</w:t>
      </w:r>
      <w:r w:rsidR="00452EFA" w:rsidRPr="00646E56">
        <w:t xml:space="preserve"> = “Yes”</w:t>
      </w:r>
    </w:p>
    <w:p w14:paraId="7B94ECB1" w14:textId="7AC3941A" w:rsidR="0066034A" w:rsidRPr="00646E56" w:rsidRDefault="00646B07" w:rsidP="0042488B">
      <w:pPr>
        <w:pStyle w:val="OPM-level2"/>
      </w:pPr>
      <w:r w:rsidRPr="00646E56">
        <w:rPr>
          <w:color w:val="808080" w:themeColor="background1" w:themeShade="80"/>
          <w:sz w:val="14"/>
        </w:rPr>
        <w:t>[(2)(a)</w:t>
      </w:r>
      <w:r w:rsidR="00F93B48" w:rsidRPr="00646E56">
        <w:rPr>
          <w:color w:val="808080" w:themeColor="background1" w:themeShade="80"/>
          <w:sz w:val="14"/>
        </w:rPr>
        <w:t>]</w:t>
      </w:r>
      <w:r w:rsidR="00F93B48" w:rsidRPr="00646E56">
        <w:t xml:space="preserve"> </w:t>
      </w:r>
      <w:r w:rsidR="0066034A" w:rsidRPr="00646E56">
        <w:t>The sup</w:t>
      </w:r>
      <w:r w:rsidR="000B62BE" w:rsidRPr="00646E56">
        <w:t xml:space="preserve">ply is </w:t>
      </w:r>
      <w:r w:rsidR="0066034A" w:rsidRPr="00646E56">
        <w:t>of new residential premises or of potential residential land.</w:t>
      </w:r>
    </w:p>
    <w:p w14:paraId="1B492EA7" w14:textId="77777777" w:rsidR="00AC25BC" w:rsidRPr="00646E56" w:rsidRDefault="00AC25BC" w:rsidP="00AC25BC">
      <w:pPr>
        <w:pStyle w:val="OPM-level1"/>
      </w:pPr>
      <w:r w:rsidRPr="00646E56">
        <w:t>AND</w:t>
      </w:r>
    </w:p>
    <w:p w14:paraId="618F6E58" w14:textId="77777777" w:rsidR="00AC25BC" w:rsidRPr="00646E56" w:rsidRDefault="00AC25BC" w:rsidP="00AC25BC">
      <w:pPr>
        <w:pStyle w:val="OPM-level1"/>
      </w:pPr>
      <w:r w:rsidRPr="00646E56">
        <w:t>Either</w:t>
      </w:r>
    </w:p>
    <w:p w14:paraId="56891037" w14:textId="22A8D63D" w:rsidR="00AC25BC" w:rsidRPr="00646E56" w:rsidRDefault="00F93B48" w:rsidP="00AC25BC">
      <w:pPr>
        <w:pStyle w:val="OPM-level2"/>
      </w:pPr>
      <w:r w:rsidRPr="00646E56">
        <w:rPr>
          <w:color w:val="808080" w:themeColor="background1" w:themeShade="80"/>
          <w:sz w:val="14"/>
        </w:rPr>
        <w:t>[Tag]</w:t>
      </w:r>
      <w:r w:rsidRPr="00646E56">
        <w:t xml:space="preserve"> </w:t>
      </w:r>
      <w:r w:rsidR="00227249" w:rsidRPr="00646E56">
        <w:rPr>
          <w:u w:val="single" w:color="666699"/>
        </w:rPr>
        <w:t>Th</w:t>
      </w:r>
      <w:r w:rsidR="008A28EF" w:rsidRPr="00646E56">
        <w:rPr>
          <w:u w:val="single" w:color="666699"/>
        </w:rPr>
        <w:t>e user knows that the</w:t>
      </w:r>
      <w:r w:rsidR="00AC25BC" w:rsidRPr="00646E56">
        <w:rPr>
          <w:u w:val="single" w:color="666699"/>
        </w:rPr>
        <w:t xml:space="preserve"> Transitio</w:t>
      </w:r>
      <w:r w:rsidR="008A28EF" w:rsidRPr="00646E56">
        <w:rPr>
          <w:u w:val="single" w:color="666699"/>
        </w:rPr>
        <w:t>nal Rules apply</w:t>
      </w:r>
      <w:r w:rsidR="005B05B5" w:rsidRPr="00646E56">
        <w:t xml:space="preserve"> = “</w:t>
      </w:r>
      <w:r w:rsidR="005814FA" w:rsidRPr="00646E56">
        <w:t>No</w:t>
      </w:r>
      <w:r w:rsidR="005B05B5" w:rsidRPr="00646E56">
        <w:t xml:space="preserve">” </w:t>
      </w:r>
    </w:p>
    <w:p w14:paraId="633FFD8C" w14:textId="54D31E7A" w:rsidR="00AC25BC" w:rsidRPr="00646E56" w:rsidRDefault="00F93B48" w:rsidP="00AC25BC">
      <w:pPr>
        <w:pStyle w:val="OPM-level2"/>
      </w:pPr>
      <w:r w:rsidRPr="00646E56">
        <w:rPr>
          <w:color w:val="808080" w:themeColor="background1" w:themeShade="80"/>
          <w:sz w:val="14"/>
        </w:rPr>
        <w:t>[Tag]</w:t>
      </w:r>
      <w:r w:rsidRPr="00646E56">
        <w:t xml:space="preserve"> </w:t>
      </w:r>
      <w:r w:rsidR="00AC25BC" w:rsidRPr="00646E56">
        <w:t xml:space="preserve">The Transitional Rules </w:t>
      </w:r>
      <w:r w:rsidR="00B51864" w:rsidRPr="00646E56">
        <w:t xml:space="preserve">do </w:t>
      </w:r>
      <w:r w:rsidRPr="00646E56">
        <w:t xml:space="preserve">not </w:t>
      </w:r>
      <w:r w:rsidR="00AC25BC" w:rsidRPr="00646E56">
        <w:t>apply.</w:t>
      </w:r>
    </w:p>
    <w:p w14:paraId="5CA965D5" w14:textId="77777777" w:rsidR="00B51C3E" w:rsidRDefault="00B51C3E"/>
    <w:p w14:paraId="28EECF75" w14:textId="15388529" w:rsidR="000E46DD" w:rsidRDefault="00646B07">
      <w:r>
        <w:t xml:space="preserve">Comment – The two cases in each </w:t>
      </w:r>
      <w:r w:rsidR="00B51C3E">
        <w:t>rules have the following logic:</w:t>
      </w:r>
    </w:p>
    <w:p w14:paraId="489B5C80" w14:textId="11081B70" w:rsidR="00BF76A6" w:rsidRDefault="00BF76A6" w:rsidP="00BF76A6">
      <w:pPr>
        <w:pStyle w:val="ListParagraph"/>
        <w:numPr>
          <w:ilvl w:val="0"/>
          <w:numId w:val="3"/>
        </w:numPr>
      </w:pPr>
      <w:r>
        <w:t>First Case -&gt; When the user is confident/knows that the base conditions is met;</w:t>
      </w:r>
    </w:p>
    <w:p w14:paraId="2750DF77" w14:textId="750D4EBC" w:rsidR="00BF76A6" w:rsidRDefault="00BF76A6" w:rsidP="00BF76A6">
      <w:pPr>
        <w:pStyle w:val="ListParagraph"/>
        <w:numPr>
          <w:ilvl w:val="0"/>
          <w:numId w:val="3"/>
        </w:numPr>
      </w:pPr>
      <w:r>
        <w:t xml:space="preserve">Second case -&gt; Triggered when the user is unsure/more info, which directs the user to a branch containing more </w:t>
      </w:r>
      <w:r w:rsidR="00B51C3E">
        <w:t>definitions</w:t>
      </w:r>
      <w:r w:rsidR="00C34AAB">
        <w:t xml:space="preserve"> &amp; legal tests</w:t>
      </w:r>
      <w:r>
        <w:t>.</w:t>
      </w:r>
    </w:p>
    <w:p w14:paraId="1A9286FF" w14:textId="5C358509" w:rsidR="00782A15" w:rsidRDefault="00782A15" w:rsidP="00782A15"/>
    <w:p w14:paraId="0C3DA2FC" w14:textId="2DFAF406" w:rsidR="00782A15" w:rsidRDefault="00782A15" w:rsidP="00782A15"/>
    <w:p w14:paraId="0F704EBE" w14:textId="4568808C" w:rsidR="00782A15" w:rsidRDefault="00782A15" w:rsidP="00782A15"/>
    <w:p w14:paraId="55184530" w14:textId="29E58A29" w:rsidR="00782A15" w:rsidRDefault="00782A15" w:rsidP="00782A15"/>
    <w:p w14:paraId="65F20096" w14:textId="22EE6905" w:rsidR="00782A15" w:rsidRDefault="00782A15" w:rsidP="00782A15"/>
    <w:p w14:paraId="2F3FBAC3" w14:textId="62D18942" w:rsidR="00782A15" w:rsidRDefault="00782A15" w:rsidP="00782A15"/>
    <w:p w14:paraId="1B8B9E78" w14:textId="6BA62286" w:rsidR="00782A15" w:rsidRDefault="00782A15" w:rsidP="00782A15"/>
    <w:p w14:paraId="5F8754E1" w14:textId="6350EFD4" w:rsidR="00782A15" w:rsidRDefault="00782A15" w:rsidP="00782A15"/>
    <w:p w14:paraId="330D8C15" w14:textId="36C9828B" w:rsidR="00782A15" w:rsidRDefault="00782A15" w:rsidP="00782A15"/>
    <w:p w14:paraId="6BA1D826" w14:textId="77777777" w:rsidR="00782A15" w:rsidRDefault="00782A15" w:rsidP="00782A15"/>
    <w:p w14:paraId="6C998F0C" w14:textId="6669E609" w:rsidR="00D00829" w:rsidRDefault="00D00829" w:rsidP="00D00829">
      <w:pPr>
        <w:pStyle w:val="OPM-blankline"/>
      </w:pPr>
    </w:p>
    <w:p w14:paraId="47F709FA" w14:textId="3653E700" w:rsidR="00646B07" w:rsidRPr="00F93B48" w:rsidRDefault="00646B07" w:rsidP="00CD2313">
      <w:pPr>
        <w:pStyle w:val="Heading3"/>
        <w:jc w:val="center"/>
        <w:rPr>
          <w:i/>
        </w:rPr>
      </w:pPr>
      <w:r>
        <w:rPr>
          <w:i/>
        </w:rPr>
        <w:t>B</w:t>
      </w:r>
      <w:r w:rsidR="00CD2313">
        <w:rPr>
          <w:i/>
        </w:rPr>
        <w:t>ranch Logic – R</w:t>
      </w:r>
      <w:r>
        <w:rPr>
          <w:i/>
        </w:rPr>
        <w:t>ecipient of taxable supply</w:t>
      </w:r>
    </w:p>
    <w:p w14:paraId="5A11AD81" w14:textId="59EE2782" w:rsidR="00D81610" w:rsidRDefault="00D81610" w:rsidP="00D00829">
      <w:pPr>
        <w:pStyle w:val="OPM-blankline"/>
      </w:pPr>
    </w:p>
    <w:p w14:paraId="733A084D" w14:textId="55320F7F" w:rsidR="00C74861" w:rsidRPr="00646E56" w:rsidRDefault="009A46CC" w:rsidP="003D38B4">
      <w:pPr>
        <w:pStyle w:val="OPM-conclusion"/>
      </w:pPr>
      <w:bookmarkStart w:id="10" w:name="_Toc528662562"/>
      <w:bookmarkStart w:id="11" w:name="_Toc528672427"/>
      <w:r w:rsidRPr="00646E56">
        <w:rPr>
          <w:color w:val="808080" w:themeColor="background1" w:themeShade="80"/>
          <w:sz w:val="14"/>
        </w:rPr>
        <w:t>[A New Tax System (Goods and Services Tax) Act 1999]</w:t>
      </w:r>
      <w:r w:rsidRPr="00646E56">
        <w:t xml:space="preserve"> </w:t>
      </w:r>
      <w:r w:rsidR="00646B07" w:rsidRPr="00646E56">
        <w:t>T</w:t>
      </w:r>
      <w:r w:rsidR="003D38B4" w:rsidRPr="00646E56">
        <w:t>he purchaser is</w:t>
      </w:r>
      <w:r w:rsidR="006D7400" w:rsidRPr="00646E56">
        <w:t xml:space="preserve"> </w:t>
      </w:r>
      <w:r w:rsidR="003D38B4" w:rsidRPr="00646E56">
        <w:t xml:space="preserve">a ‘recipient' of a </w:t>
      </w:r>
      <w:r w:rsidR="00613793" w:rsidRPr="00646E56">
        <w:t>‘</w:t>
      </w:r>
      <w:r w:rsidR="003D38B4" w:rsidRPr="00646E56">
        <w:t>taxable supply</w:t>
      </w:r>
      <w:r w:rsidR="00613793" w:rsidRPr="00646E56">
        <w:t>’</w:t>
      </w:r>
      <w:r w:rsidR="003D38B4" w:rsidRPr="00646E56">
        <w:t xml:space="preserve"> if</w:t>
      </w:r>
      <w:bookmarkEnd w:id="10"/>
      <w:bookmarkEnd w:id="11"/>
    </w:p>
    <w:p w14:paraId="54CA3607" w14:textId="1EEE062F" w:rsidR="00613793" w:rsidRPr="00646E56" w:rsidRDefault="009A46CC" w:rsidP="00613793">
      <w:pPr>
        <w:pStyle w:val="OPM-level1"/>
      </w:pPr>
      <w:r w:rsidRPr="00646E56">
        <w:rPr>
          <w:color w:val="808080" w:themeColor="background1" w:themeShade="80"/>
          <w:sz w:val="14"/>
        </w:rPr>
        <w:t>[</w:t>
      </w:r>
      <w:r w:rsidR="00247621" w:rsidRPr="00646E56">
        <w:rPr>
          <w:color w:val="808080" w:themeColor="background1" w:themeShade="80"/>
          <w:sz w:val="14"/>
        </w:rPr>
        <w:t>s 184-1(1)]</w:t>
      </w:r>
      <w:r w:rsidR="00247621" w:rsidRPr="00646E56">
        <w:t xml:space="preserve"> </w:t>
      </w:r>
      <w:r w:rsidR="0009152C" w:rsidRPr="00646E56">
        <w:t>The purchaser is an entity and</w:t>
      </w:r>
    </w:p>
    <w:p w14:paraId="55FF0BCB" w14:textId="0239FA72" w:rsidR="00160AAB" w:rsidRPr="00646E56" w:rsidRDefault="00A67A4D" w:rsidP="00160AAB">
      <w:pPr>
        <w:pStyle w:val="OPM-level1"/>
      </w:pPr>
      <w:r w:rsidRPr="00646E56">
        <w:rPr>
          <w:color w:val="808080" w:themeColor="background1" w:themeShade="80"/>
          <w:sz w:val="14"/>
        </w:rPr>
        <w:t>[s</w:t>
      </w:r>
      <w:r w:rsidR="009A46CC" w:rsidRPr="00646E56">
        <w:rPr>
          <w:color w:val="808080" w:themeColor="background1" w:themeShade="80"/>
          <w:sz w:val="14"/>
        </w:rPr>
        <w:t xml:space="preserve"> 9-5,195-1]</w:t>
      </w:r>
      <w:r w:rsidR="009A46CC" w:rsidRPr="00646E56">
        <w:t xml:space="preserve"> The supply is made for consideration and</w:t>
      </w:r>
    </w:p>
    <w:p w14:paraId="0FDB843D" w14:textId="219DDE89" w:rsidR="00160AAB" w:rsidRPr="00646E56" w:rsidRDefault="00160AAB" w:rsidP="00160AAB">
      <w:pPr>
        <w:pStyle w:val="OPM-level1"/>
      </w:pPr>
      <w:r w:rsidRPr="00646E56">
        <w:rPr>
          <w:color w:val="808080" w:themeColor="background1" w:themeShade="80"/>
          <w:sz w:val="14"/>
        </w:rPr>
        <w:t>[s 9-20, 195-1]</w:t>
      </w:r>
      <w:r w:rsidRPr="00646E56">
        <w:t xml:space="preserve"> The supply is made in the course or furtherance of an enterprise that the entity carries on and</w:t>
      </w:r>
    </w:p>
    <w:p w14:paraId="406EEBF6" w14:textId="54597DDD" w:rsidR="00782A15" w:rsidRPr="00646E56" w:rsidRDefault="00727545" w:rsidP="00160AAB">
      <w:pPr>
        <w:pStyle w:val="OPM-level1"/>
      </w:pPr>
      <w:r w:rsidRPr="00646E56">
        <w:rPr>
          <w:color w:val="808080" w:themeColor="background1" w:themeShade="80"/>
          <w:sz w:val="14"/>
        </w:rPr>
        <w:t>[s 9-25(4), 195-1;</w:t>
      </w:r>
      <w:r w:rsidR="00A67A4D" w:rsidRPr="00646E56">
        <w:rPr>
          <w:color w:val="808080" w:themeColor="background1" w:themeShade="80"/>
          <w:sz w:val="14"/>
        </w:rPr>
        <w:t xml:space="preserve"> Taxation Ruling GSTD 2004/3 para 2</w:t>
      </w:r>
      <w:r w:rsidR="00782A15" w:rsidRPr="00646E56">
        <w:rPr>
          <w:color w:val="808080" w:themeColor="background1" w:themeShade="80"/>
          <w:sz w:val="14"/>
        </w:rPr>
        <w:t>]</w:t>
      </w:r>
      <w:r w:rsidR="00782A15" w:rsidRPr="00646E56">
        <w:t xml:space="preserve"> The supply is connected with Australia and</w:t>
      </w:r>
    </w:p>
    <w:p w14:paraId="5D966AB9" w14:textId="3BD38EA0" w:rsidR="005914D9" w:rsidRPr="00646E56" w:rsidRDefault="009C3FB7" w:rsidP="001E695B">
      <w:pPr>
        <w:pStyle w:val="OPM-level1"/>
      </w:pPr>
      <w:r w:rsidRPr="00646E56">
        <w:rPr>
          <w:color w:val="808080" w:themeColor="background1" w:themeShade="80"/>
          <w:sz w:val="14"/>
        </w:rPr>
        <w:t>[s 57-20, 195-1, 144-5</w:t>
      </w:r>
      <w:r w:rsidR="00782A15" w:rsidRPr="00646E56">
        <w:rPr>
          <w:color w:val="808080" w:themeColor="background1" w:themeShade="80"/>
          <w:sz w:val="14"/>
        </w:rPr>
        <w:t>]</w:t>
      </w:r>
      <w:r w:rsidR="00782A15" w:rsidRPr="00646E56">
        <w:t xml:space="preserve"> The entity is registered, or required to be registered, for GST</w:t>
      </w:r>
      <w:r w:rsidR="001E695B" w:rsidRPr="00646E56">
        <w:t xml:space="preserve"> and</w:t>
      </w:r>
      <w:r w:rsidR="005914D9" w:rsidRPr="00646E56">
        <w:t xml:space="preserve"> </w:t>
      </w:r>
    </w:p>
    <w:p w14:paraId="0CDB63CF" w14:textId="078A08E5" w:rsidR="001E695B" w:rsidRPr="00646E56" w:rsidRDefault="0046796A" w:rsidP="001E695B">
      <w:pPr>
        <w:pStyle w:val="OPM-level1"/>
      </w:pPr>
      <w:r w:rsidRPr="00646E56">
        <w:t>Both</w:t>
      </w:r>
    </w:p>
    <w:p w14:paraId="40194AA1" w14:textId="454BB552" w:rsidR="001E695B" w:rsidRPr="00646E56" w:rsidRDefault="00727545" w:rsidP="001E695B">
      <w:pPr>
        <w:pStyle w:val="OPM-level2"/>
        <w:rPr>
          <w:b/>
        </w:rPr>
      </w:pPr>
      <w:r w:rsidRPr="00646E56">
        <w:rPr>
          <w:color w:val="808080" w:themeColor="background1" w:themeShade="80"/>
          <w:sz w:val="14"/>
        </w:rPr>
        <w:t xml:space="preserve">[Subdivision 40; Law </w:t>
      </w:r>
      <w:r w:rsidR="00886A99" w:rsidRPr="00646E56">
        <w:rPr>
          <w:color w:val="808080" w:themeColor="background1" w:themeShade="80"/>
          <w:sz w:val="14"/>
        </w:rPr>
        <w:t>Companion</w:t>
      </w:r>
      <w:r w:rsidRPr="00646E56">
        <w:rPr>
          <w:color w:val="808080" w:themeColor="background1" w:themeShade="80"/>
          <w:sz w:val="14"/>
        </w:rPr>
        <w:t xml:space="preserve"> Ruling</w:t>
      </w:r>
      <w:r w:rsidR="00886A99" w:rsidRPr="00646E56">
        <w:rPr>
          <w:color w:val="808080" w:themeColor="background1" w:themeShade="80"/>
          <w:sz w:val="14"/>
        </w:rPr>
        <w:t xml:space="preserve"> LCR 2018/4 para 15, 18</w:t>
      </w:r>
      <w:r w:rsidRPr="00646E56">
        <w:rPr>
          <w:color w:val="808080" w:themeColor="background1" w:themeShade="80"/>
          <w:sz w:val="14"/>
        </w:rPr>
        <w:t>]</w:t>
      </w:r>
      <w:r w:rsidRPr="00646E56">
        <w:t xml:space="preserve"> </w:t>
      </w:r>
      <w:r w:rsidR="001E695B" w:rsidRPr="00646E56">
        <w:t>The sale of the residential premises is not input taxes and</w:t>
      </w:r>
    </w:p>
    <w:p w14:paraId="07912FED" w14:textId="40F0E867" w:rsidR="001E695B" w:rsidRPr="00646E56" w:rsidRDefault="00727545" w:rsidP="001E695B">
      <w:pPr>
        <w:pStyle w:val="OPM-level2"/>
      </w:pPr>
      <w:r w:rsidRPr="00646E56">
        <w:rPr>
          <w:color w:val="808080" w:themeColor="background1" w:themeShade="80"/>
          <w:sz w:val="14"/>
        </w:rPr>
        <w:t>[</w:t>
      </w:r>
      <w:r w:rsidR="009F1310" w:rsidRPr="00646E56">
        <w:rPr>
          <w:color w:val="808080" w:themeColor="background1" w:themeShade="80"/>
          <w:sz w:val="14"/>
        </w:rPr>
        <w:t>Subdivision 38]</w:t>
      </w:r>
      <w:r w:rsidR="009F1310" w:rsidRPr="00646E56">
        <w:t xml:space="preserve"> </w:t>
      </w:r>
      <w:r w:rsidR="001E695B" w:rsidRPr="00646E56">
        <w:t xml:space="preserve">The sale is not </w:t>
      </w:r>
      <w:r w:rsidR="00A13E42" w:rsidRPr="00646E56">
        <w:t xml:space="preserve">a </w:t>
      </w:r>
      <w:r w:rsidR="001E695B" w:rsidRPr="00646E56">
        <w:t>GST-free supply.</w:t>
      </w:r>
    </w:p>
    <w:p w14:paraId="3EC893E9" w14:textId="5C7CFC7C" w:rsidR="007B0574" w:rsidRDefault="007B0574"/>
    <w:p w14:paraId="692BB8CC" w14:textId="77777777" w:rsidR="00781022" w:rsidRPr="00342FBF" w:rsidRDefault="00781022" w:rsidP="008C7B14">
      <w:pPr>
        <w:pStyle w:val="OPM-blankline"/>
      </w:pPr>
    </w:p>
    <w:p w14:paraId="5F4DF28F" w14:textId="2856A0E5" w:rsidR="003D2C64" w:rsidRDefault="003D2C64" w:rsidP="003D2C64">
      <w:pPr>
        <w:pStyle w:val="Heading3"/>
        <w:jc w:val="center"/>
        <w:rPr>
          <w:i/>
        </w:rPr>
      </w:pPr>
      <w:r>
        <w:rPr>
          <w:i/>
        </w:rPr>
        <w:t>Branch Logic – Supply by way of sale or long-term lease</w:t>
      </w:r>
    </w:p>
    <w:p w14:paraId="1E67299D" w14:textId="77777777" w:rsidR="008E5A14" w:rsidRPr="008E5A14" w:rsidRDefault="008E5A14" w:rsidP="008E5A14"/>
    <w:p w14:paraId="7BA6E5C6" w14:textId="3ADF6898" w:rsidR="003D2C64" w:rsidRPr="00646E56" w:rsidRDefault="004E0D9C" w:rsidP="003D2C64">
      <w:pPr>
        <w:pStyle w:val="OPM-conclusion"/>
      </w:pPr>
      <w:r w:rsidRPr="00646E56">
        <w:rPr>
          <w:color w:val="808080" w:themeColor="background1" w:themeShade="80"/>
          <w:sz w:val="14"/>
        </w:rPr>
        <w:t>[</w:t>
      </w:r>
      <w:r w:rsidRPr="00646E56">
        <w:rPr>
          <w:color w:val="808080" w:themeColor="background1" w:themeShade="80"/>
          <w:sz w:val="14"/>
        </w:rPr>
        <w:t>A New Tax System (Goods and Services Tax) Act 1999</w:t>
      </w:r>
      <w:r w:rsidRPr="00646E56">
        <w:rPr>
          <w:color w:val="808080" w:themeColor="background1" w:themeShade="80"/>
          <w:sz w:val="14"/>
        </w:rPr>
        <w:t>]</w:t>
      </w:r>
      <w:r w:rsidRPr="00646E56">
        <w:t xml:space="preserve"> </w:t>
      </w:r>
      <w:r w:rsidR="003D2C64" w:rsidRPr="00646E56">
        <w:t>The supply is by way of sale or long-term lease if</w:t>
      </w:r>
    </w:p>
    <w:p w14:paraId="71E3B839" w14:textId="2EC0F676" w:rsidR="003D2C64" w:rsidRPr="00646E56" w:rsidRDefault="003D2C64" w:rsidP="003D2C64">
      <w:pPr>
        <w:pStyle w:val="OPM-level1"/>
      </w:pPr>
      <w:r w:rsidRPr="00646E56">
        <w:rPr>
          <w:color w:val="808080" w:themeColor="background1" w:themeShade="80"/>
          <w:sz w:val="14"/>
        </w:rPr>
        <w:t>[</w:t>
      </w:r>
      <w:r w:rsidR="00376122" w:rsidRPr="00646E56">
        <w:rPr>
          <w:color w:val="808080" w:themeColor="background1" w:themeShade="80"/>
          <w:sz w:val="14"/>
        </w:rPr>
        <w:t>9-10</w:t>
      </w:r>
      <w:r w:rsidRPr="00646E56">
        <w:rPr>
          <w:color w:val="808080" w:themeColor="background1" w:themeShade="80"/>
          <w:sz w:val="14"/>
        </w:rPr>
        <w:t>]</w:t>
      </w:r>
      <w:r w:rsidRPr="00646E56">
        <w:t xml:space="preserve"> </w:t>
      </w:r>
      <w:r w:rsidRPr="00646E56">
        <w:t>The transaction is defined as a supply and</w:t>
      </w:r>
    </w:p>
    <w:p w14:paraId="2CD95622" w14:textId="37FC809A" w:rsidR="003D2C64" w:rsidRPr="00646E56" w:rsidRDefault="003D2C64" w:rsidP="003D2C64">
      <w:pPr>
        <w:pStyle w:val="OPM-level1"/>
      </w:pPr>
      <w:r w:rsidRPr="00646E56">
        <w:t>Either</w:t>
      </w:r>
    </w:p>
    <w:p w14:paraId="6CDE762D" w14:textId="0FC61361" w:rsidR="003D2C64" w:rsidRPr="00646E56" w:rsidRDefault="003E2043" w:rsidP="003D2C64">
      <w:pPr>
        <w:pStyle w:val="OPM-level2"/>
      </w:pPr>
      <w:r w:rsidRPr="00646E56">
        <w:rPr>
          <w:color w:val="808080" w:themeColor="background1" w:themeShade="80"/>
          <w:sz w:val="14"/>
        </w:rPr>
        <w:t>[Goods and Services Tax Ruling GSTR 2003/03 para 18</w:t>
      </w:r>
      <w:r w:rsidR="008E5A14" w:rsidRPr="00646E56">
        <w:rPr>
          <w:color w:val="808080" w:themeColor="background1" w:themeShade="80"/>
          <w:sz w:val="14"/>
        </w:rPr>
        <w:t>]</w:t>
      </w:r>
      <w:r w:rsidR="008E5A14" w:rsidRPr="00646E56">
        <w:t xml:space="preserve"> </w:t>
      </w:r>
      <w:r w:rsidR="003D2C64" w:rsidRPr="00646E56">
        <w:t>The supply is by way of sale or</w:t>
      </w:r>
    </w:p>
    <w:p w14:paraId="47176272" w14:textId="652359AB" w:rsidR="003D2C64" w:rsidRPr="00646E56" w:rsidRDefault="008E5A14" w:rsidP="008E5A14">
      <w:pPr>
        <w:pStyle w:val="OPM-level2"/>
      </w:pPr>
      <w:r w:rsidRPr="00646E56">
        <w:rPr>
          <w:color w:val="808080" w:themeColor="background1" w:themeShade="80"/>
          <w:sz w:val="14"/>
        </w:rPr>
        <w:t>[s 195-1 definitions ‘long-term lease’]</w:t>
      </w:r>
      <w:r w:rsidRPr="00646E56">
        <w:t xml:space="preserve"> </w:t>
      </w:r>
      <w:r w:rsidR="003D2C64" w:rsidRPr="00646E56">
        <w:t>The supply is by way of long-term lease.</w:t>
      </w:r>
    </w:p>
    <w:p w14:paraId="44ECB606" w14:textId="0E68304C" w:rsidR="008E5A14" w:rsidRDefault="008E5A14" w:rsidP="008E5A14">
      <w:pPr>
        <w:pStyle w:val="OPM-blankline"/>
      </w:pPr>
    </w:p>
    <w:p w14:paraId="7485492E" w14:textId="65FF7B6A" w:rsidR="008E5A14" w:rsidRDefault="008E5A14" w:rsidP="008E5A14">
      <w:pPr>
        <w:pStyle w:val="Heading3"/>
        <w:jc w:val="center"/>
        <w:rPr>
          <w:i/>
        </w:rPr>
      </w:pPr>
      <w:r>
        <w:rPr>
          <w:i/>
        </w:rPr>
        <w:t>B</w:t>
      </w:r>
      <w:r>
        <w:rPr>
          <w:i/>
        </w:rPr>
        <w:t>ranch Logic – New Residential Premises</w:t>
      </w:r>
    </w:p>
    <w:p w14:paraId="2EE254D1" w14:textId="446FF202" w:rsidR="008E5A14" w:rsidRDefault="008E5A14" w:rsidP="008E5A14">
      <w:pPr>
        <w:pStyle w:val="OPM-blankline"/>
      </w:pPr>
    </w:p>
    <w:p w14:paraId="3C460F21" w14:textId="17C5EF78" w:rsidR="008E5A14" w:rsidRPr="00646E56" w:rsidRDefault="00B67434" w:rsidP="008E5A14">
      <w:pPr>
        <w:pStyle w:val="OPM-conclusion"/>
      </w:pPr>
      <w:bookmarkStart w:id="12" w:name="_Toc528662566"/>
      <w:bookmarkStart w:id="13" w:name="_Toc528672431"/>
      <w:r w:rsidRPr="00646E56">
        <w:rPr>
          <w:color w:val="808080" w:themeColor="background1" w:themeShade="80"/>
          <w:sz w:val="14"/>
        </w:rPr>
        <w:t>[</w:t>
      </w:r>
      <w:r w:rsidR="007748F2" w:rsidRPr="00646E56">
        <w:rPr>
          <w:color w:val="808080" w:themeColor="background1" w:themeShade="80"/>
          <w:sz w:val="14"/>
        </w:rPr>
        <w:t>A New Tax System (Goods and Services Tax) Act</w:t>
      </w:r>
      <w:r w:rsidRPr="00646E56">
        <w:rPr>
          <w:color w:val="808080" w:themeColor="background1" w:themeShade="80"/>
          <w:sz w:val="14"/>
        </w:rPr>
        <w:t>]</w:t>
      </w:r>
      <w:r w:rsidRPr="00646E56">
        <w:t xml:space="preserve"> </w:t>
      </w:r>
      <w:r w:rsidR="008E5A14" w:rsidRPr="00646E56">
        <w:t>The supply is of new residential premises if</w:t>
      </w:r>
      <w:bookmarkEnd w:id="12"/>
      <w:bookmarkEnd w:id="13"/>
    </w:p>
    <w:p w14:paraId="53F2EBA4" w14:textId="3BB2C8CC" w:rsidR="0030544C" w:rsidRPr="00646E56" w:rsidRDefault="007748F2" w:rsidP="008E5A14">
      <w:pPr>
        <w:pStyle w:val="OPM-level1"/>
      </w:pPr>
      <w:r w:rsidRPr="00646E56">
        <w:rPr>
          <w:color w:val="808080" w:themeColor="background1" w:themeShade="80"/>
          <w:sz w:val="14"/>
        </w:rPr>
        <w:t>[s 40-75</w:t>
      </w:r>
      <w:r w:rsidR="00B67434" w:rsidRPr="00646E56">
        <w:rPr>
          <w:color w:val="808080" w:themeColor="background1" w:themeShade="80"/>
          <w:sz w:val="14"/>
        </w:rPr>
        <w:t>]</w:t>
      </w:r>
      <w:r w:rsidR="00B67434" w:rsidRPr="00646E56">
        <w:t xml:space="preserve"> </w:t>
      </w:r>
      <w:r w:rsidR="0030544C" w:rsidRPr="00646E56">
        <w:t>The supply is defined as a ‘new residential premises’</w:t>
      </w:r>
      <w:r w:rsidR="00F622E1" w:rsidRPr="00646E56">
        <w:t xml:space="preserve"> and</w:t>
      </w:r>
    </w:p>
    <w:p w14:paraId="66BF4C50" w14:textId="198A880D" w:rsidR="008E5A14" w:rsidRPr="00646E56" w:rsidRDefault="001A3F5D" w:rsidP="008E5A14">
      <w:pPr>
        <w:pStyle w:val="OPM-level1"/>
      </w:pPr>
      <w:r w:rsidRPr="00646E56">
        <w:t>Both</w:t>
      </w:r>
    </w:p>
    <w:p w14:paraId="53DF8568" w14:textId="18E39637" w:rsidR="008E5A14" w:rsidRPr="00646E56" w:rsidRDefault="003E2043" w:rsidP="008E5A14">
      <w:pPr>
        <w:pStyle w:val="OPM-level2"/>
      </w:pPr>
      <w:r w:rsidRPr="00646E56">
        <w:rPr>
          <w:color w:val="808080" w:themeColor="background1" w:themeShade="80"/>
          <w:sz w:val="14"/>
        </w:rPr>
        <w:t>[s 40-65(2)]</w:t>
      </w:r>
      <w:r w:rsidRPr="00646E56">
        <w:t xml:space="preserve"> </w:t>
      </w:r>
      <w:r w:rsidR="008E5A14" w:rsidRPr="00646E56">
        <w:t xml:space="preserve">The supply has </w:t>
      </w:r>
      <w:r w:rsidR="0030544C" w:rsidRPr="00646E56">
        <w:t xml:space="preserve">not </w:t>
      </w:r>
      <w:r w:rsidR="008E5A14" w:rsidRPr="00646E56">
        <w:t>been created th</w:t>
      </w:r>
      <w:r w:rsidR="00BF45A0" w:rsidRPr="00646E56">
        <w:t>rough substantial renovations and</w:t>
      </w:r>
    </w:p>
    <w:p w14:paraId="410DD9A6" w14:textId="661C83B9" w:rsidR="008E5A14" w:rsidRPr="00646E56" w:rsidRDefault="003E2043" w:rsidP="008E5A14">
      <w:pPr>
        <w:pStyle w:val="OPM-level2"/>
      </w:pPr>
      <w:r w:rsidRPr="00646E56">
        <w:rPr>
          <w:color w:val="808080" w:themeColor="background1" w:themeShade="80"/>
          <w:sz w:val="14"/>
        </w:rPr>
        <w:t>[s 40-65(2)]</w:t>
      </w:r>
      <w:r w:rsidRPr="00646E56">
        <w:t xml:space="preserve"> </w:t>
      </w:r>
      <w:r w:rsidR="008E5A14" w:rsidRPr="00646E56">
        <w:t xml:space="preserve">The supply is </w:t>
      </w:r>
      <w:r w:rsidR="0030544C" w:rsidRPr="00646E56">
        <w:t xml:space="preserve">not </w:t>
      </w:r>
      <w:r w:rsidR="008E5A14" w:rsidRPr="00646E56">
        <w:t>of commercial residential premises.</w:t>
      </w:r>
    </w:p>
    <w:p w14:paraId="343771FE" w14:textId="514D9451" w:rsidR="008E5A14" w:rsidRDefault="008E5A14" w:rsidP="008E5A14">
      <w:pPr>
        <w:pStyle w:val="OPM-blankline"/>
      </w:pPr>
    </w:p>
    <w:p w14:paraId="73FB7D9C" w14:textId="363517F2" w:rsidR="007748F2" w:rsidRDefault="007748F2" w:rsidP="007748F2">
      <w:pPr>
        <w:pStyle w:val="Heading3"/>
        <w:jc w:val="center"/>
        <w:rPr>
          <w:i/>
        </w:rPr>
      </w:pPr>
      <w:r>
        <w:rPr>
          <w:i/>
        </w:rPr>
        <w:t>Branch Logic – New Residential Premises</w:t>
      </w:r>
      <w:r>
        <w:rPr>
          <w:i/>
        </w:rPr>
        <w:t xml:space="preserve"> – ‘new residential premises’</w:t>
      </w:r>
    </w:p>
    <w:p w14:paraId="283FB7E7" w14:textId="77777777" w:rsidR="007748F2" w:rsidRDefault="007748F2" w:rsidP="008E5A14">
      <w:pPr>
        <w:pStyle w:val="OPM-blankline"/>
      </w:pPr>
    </w:p>
    <w:p w14:paraId="2629CF6D" w14:textId="0C94578A" w:rsidR="008E5A14" w:rsidRPr="00646E56" w:rsidRDefault="007748F2" w:rsidP="007748F2">
      <w:pPr>
        <w:pStyle w:val="OPM-conclusion"/>
      </w:pPr>
      <w:r w:rsidRPr="00646E56">
        <w:t>The supply is defined as a ‘new residential premises' if</w:t>
      </w:r>
    </w:p>
    <w:p w14:paraId="5E40FC6D" w14:textId="2BB3EB6B" w:rsidR="007748F2" w:rsidRPr="00646E56" w:rsidRDefault="007748F2" w:rsidP="007748F2">
      <w:pPr>
        <w:pStyle w:val="OPM-level1"/>
      </w:pPr>
      <w:r w:rsidRPr="00646E56">
        <w:rPr>
          <w:color w:val="808080" w:themeColor="background1" w:themeShade="80"/>
          <w:sz w:val="14"/>
        </w:rPr>
        <w:t>[s 40-75(1)(a)]</w:t>
      </w:r>
      <w:r w:rsidRPr="00646E56">
        <w:t xml:space="preserve"> </w:t>
      </w:r>
      <w:r w:rsidR="000F048E" w:rsidRPr="00646E56">
        <w:t>The supply</w:t>
      </w:r>
      <w:bookmarkStart w:id="14" w:name="_GoBack"/>
      <w:bookmarkEnd w:id="14"/>
      <w:r w:rsidRPr="00646E56">
        <w:t xml:space="preserve"> h</w:t>
      </w:r>
      <w:r w:rsidR="0062341B" w:rsidRPr="00646E56">
        <w:t>as</w:t>
      </w:r>
      <w:r w:rsidRPr="00646E56">
        <w:t xml:space="preserve"> not previously been sold as a residential premises (other than commercial residential premises) or</w:t>
      </w:r>
    </w:p>
    <w:p w14:paraId="4EA5C8F8" w14:textId="5FAFAE0E" w:rsidR="007748F2" w:rsidRPr="00646E56" w:rsidRDefault="007748F2" w:rsidP="007748F2">
      <w:pPr>
        <w:pStyle w:val="OPM-level1"/>
      </w:pPr>
      <w:r w:rsidRPr="00646E56">
        <w:rPr>
          <w:color w:val="808080" w:themeColor="background1" w:themeShade="80"/>
          <w:sz w:val="14"/>
        </w:rPr>
        <w:t>[s 40-75(1(c)]</w:t>
      </w:r>
      <w:r w:rsidRPr="00646E56">
        <w:t xml:space="preserve"> </w:t>
      </w:r>
      <w:r w:rsidR="0062341B" w:rsidRPr="00646E56">
        <w:t>It has</w:t>
      </w:r>
      <w:r w:rsidRPr="00646E56">
        <w:t xml:space="preserve"> been built, or contain a building that has been built, to replace demolished premises on the same land.</w:t>
      </w:r>
    </w:p>
    <w:p w14:paraId="043972D6" w14:textId="77777777" w:rsidR="007748F2" w:rsidRDefault="007748F2" w:rsidP="008E5A14">
      <w:pPr>
        <w:pStyle w:val="OPM-blankline"/>
      </w:pPr>
    </w:p>
    <w:p w14:paraId="71ABF1E8" w14:textId="1200EC87" w:rsidR="009B35CE" w:rsidRPr="00D13024" w:rsidRDefault="007748F2" w:rsidP="008E5A14">
      <w:pPr>
        <w:pStyle w:val="OPM-blankline"/>
        <w:rPr>
          <w:i/>
        </w:rPr>
      </w:pPr>
      <w:r>
        <w:t xml:space="preserve">Comment – s </w:t>
      </w:r>
      <w:r w:rsidR="00D13024">
        <w:t xml:space="preserve">40-75(1)(b), states a further definition for ‘new residential premises,’ where “they have been created through substantial renovation of a building.” It is our interpretation that this has been displaced by </w:t>
      </w:r>
      <w:r w:rsidR="00D13024">
        <w:rPr>
          <w:i/>
        </w:rPr>
        <w:t xml:space="preserve">Taxation Administration Act 1953 </w:t>
      </w:r>
      <w:r w:rsidR="00D13024">
        <w:t xml:space="preserve">(Cth) ss 14-250(2)(a)(i) which states that ‘This subsection applies to… new residential premises that not been created through substantial renovation of a building.’ </w:t>
      </w:r>
      <w:r w:rsidR="00D13024">
        <w:rPr>
          <w:i/>
        </w:rPr>
        <w:t xml:space="preserve"> </w:t>
      </w:r>
    </w:p>
    <w:p w14:paraId="65A2625F" w14:textId="6B11ADF7" w:rsidR="009B35CE" w:rsidRDefault="009B35CE" w:rsidP="008E5A14">
      <w:pPr>
        <w:pStyle w:val="OPM-blankline"/>
      </w:pPr>
    </w:p>
    <w:p w14:paraId="204BD1C5" w14:textId="27A7ACA2" w:rsidR="009B35CE" w:rsidRDefault="009B35CE" w:rsidP="008E5A14">
      <w:pPr>
        <w:pStyle w:val="OPM-blankline"/>
      </w:pPr>
    </w:p>
    <w:p w14:paraId="66969DF6" w14:textId="6B722864" w:rsidR="009B35CE" w:rsidRDefault="009B35CE" w:rsidP="008E5A14">
      <w:pPr>
        <w:pStyle w:val="OPM-blankline"/>
      </w:pPr>
    </w:p>
    <w:p w14:paraId="158473AD" w14:textId="71AB77B5" w:rsidR="009B35CE" w:rsidRDefault="009B35CE" w:rsidP="008E5A14">
      <w:pPr>
        <w:pStyle w:val="OPM-blankline"/>
      </w:pPr>
    </w:p>
    <w:p w14:paraId="5A1C3C89" w14:textId="26109FC0" w:rsidR="009B35CE" w:rsidRDefault="009B35CE" w:rsidP="008E5A14">
      <w:pPr>
        <w:pStyle w:val="OPM-blankline"/>
      </w:pPr>
    </w:p>
    <w:p w14:paraId="66CD5566" w14:textId="108FD1B3" w:rsidR="009B35CE" w:rsidRDefault="009B35CE" w:rsidP="008E5A14">
      <w:pPr>
        <w:pStyle w:val="OPM-blankline"/>
      </w:pPr>
    </w:p>
    <w:p w14:paraId="786C73E0" w14:textId="25C03F21" w:rsidR="009B35CE" w:rsidRDefault="009B35CE" w:rsidP="008E5A14">
      <w:pPr>
        <w:pStyle w:val="OPM-blankline"/>
      </w:pPr>
    </w:p>
    <w:p w14:paraId="5B42A469" w14:textId="77777777" w:rsidR="009B35CE" w:rsidRDefault="009B35CE" w:rsidP="008E5A14">
      <w:pPr>
        <w:pStyle w:val="OPM-blankline"/>
      </w:pPr>
    </w:p>
    <w:p w14:paraId="2FDB49B5" w14:textId="77777777" w:rsidR="008E5A14" w:rsidRPr="008E5A14" w:rsidRDefault="008E5A14" w:rsidP="008E5A14">
      <w:pPr>
        <w:pStyle w:val="OPM-blankline"/>
      </w:pPr>
    </w:p>
    <w:p w14:paraId="49451E25" w14:textId="67EB4087" w:rsidR="00CD2313" w:rsidRPr="00F93B48" w:rsidRDefault="00CD2313" w:rsidP="00CD2313">
      <w:pPr>
        <w:pStyle w:val="Heading3"/>
        <w:jc w:val="center"/>
        <w:rPr>
          <w:i/>
        </w:rPr>
      </w:pPr>
      <w:r>
        <w:rPr>
          <w:i/>
        </w:rPr>
        <w:t>Branch Logic – Exception – Transitional Rules</w:t>
      </w:r>
    </w:p>
    <w:p w14:paraId="4D5D485E" w14:textId="688D80F4" w:rsidR="009755B9" w:rsidRDefault="009755B9" w:rsidP="009755B9">
      <w:pPr>
        <w:pStyle w:val="OPM-blankline"/>
      </w:pPr>
    </w:p>
    <w:p w14:paraId="0EAE2B53" w14:textId="51E915F9" w:rsidR="009755B9" w:rsidRPr="00646E56" w:rsidRDefault="005314DD" w:rsidP="009755B9">
      <w:pPr>
        <w:pStyle w:val="OPM-conclusion"/>
      </w:pPr>
      <w:bookmarkStart w:id="15" w:name="_Toc528662563"/>
      <w:bookmarkStart w:id="16" w:name="_Toc528672428"/>
      <w:r w:rsidRPr="00646E56">
        <w:t xml:space="preserve">The Transitional Rules </w:t>
      </w:r>
      <w:bookmarkEnd w:id="15"/>
      <w:bookmarkEnd w:id="16"/>
      <w:r w:rsidR="00B51864" w:rsidRPr="00646E56">
        <w:t>do</w:t>
      </w:r>
      <w:r w:rsidR="00C95762" w:rsidRPr="00646E56">
        <w:t xml:space="preserve"> not apply</w:t>
      </w:r>
    </w:p>
    <w:p w14:paraId="4AC0B537" w14:textId="77777777" w:rsidR="009755B9" w:rsidRPr="00646E56" w:rsidRDefault="009755B9" w:rsidP="009755B9">
      <w:pPr>
        <w:pStyle w:val="OPM-level1"/>
      </w:pPr>
      <w:r w:rsidRPr="00646E56">
        <w:t>The contracts were exchanged between the parties before 1 July 2018, or</w:t>
      </w:r>
    </w:p>
    <w:p w14:paraId="5DF4E34F" w14:textId="77777777" w:rsidR="009755B9" w:rsidRPr="00646E56" w:rsidRDefault="009755B9" w:rsidP="009755B9">
      <w:pPr>
        <w:pStyle w:val="OPM-level1"/>
      </w:pPr>
      <w:r w:rsidRPr="00646E56">
        <w:t>both</w:t>
      </w:r>
    </w:p>
    <w:p w14:paraId="16C12FDC" w14:textId="77777777" w:rsidR="009755B9" w:rsidRPr="00646E56" w:rsidRDefault="009755B9" w:rsidP="009755B9">
      <w:pPr>
        <w:pStyle w:val="OPM-level2"/>
      </w:pPr>
      <w:r w:rsidRPr="00646E56">
        <w:t>The contract was entered into by the purchaser and the vendor executing two copies of the contract in turn and</w:t>
      </w:r>
    </w:p>
    <w:p w14:paraId="0C55BC74" w14:textId="77777777" w:rsidR="009755B9" w:rsidRPr="00646E56" w:rsidRDefault="009755B9" w:rsidP="009755B9">
      <w:pPr>
        <w:pStyle w:val="OPM-level2"/>
      </w:pPr>
      <w:r w:rsidRPr="00646E56">
        <w:t xml:space="preserve">The acceptance of the offer was communicated to the other party before 1 July 2018. </w:t>
      </w:r>
    </w:p>
    <w:p w14:paraId="502B6417" w14:textId="77777777" w:rsidR="0070107A" w:rsidRDefault="0070107A" w:rsidP="0070107A">
      <w:pPr>
        <w:pStyle w:val="OPM-blankline"/>
      </w:pPr>
    </w:p>
    <w:p w14:paraId="2BAB97CE" w14:textId="3C364DC3" w:rsidR="002074A0" w:rsidRPr="00646E56" w:rsidRDefault="000B62BE" w:rsidP="002074A0">
      <w:pPr>
        <w:pStyle w:val="OPM-conclusion"/>
      </w:pPr>
      <w:bookmarkStart w:id="17" w:name="_Toc528662564"/>
      <w:bookmarkStart w:id="18" w:name="_Toc528672429"/>
      <w:r w:rsidRPr="00646E56">
        <w:t>The supply is</w:t>
      </w:r>
      <w:r w:rsidR="002074A0" w:rsidRPr="00646E56">
        <w:t xml:space="preserve"> of new residential premises or of potential residential land if</w:t>
      </w:r>
      <w:bookmarkEnd w:id="17"/>
      <w:bookmarkEnd w:id="18"/>
    </w:p>
    <w:p w14:paraId="70EB7E51" w14:textId="77777777" w:rsidR="002074A0" w:rsidRPr="00646E56" w:rsidRDefault="002074A0" w:rsidP="002074A0">
      <w:pPr>
        <w:pStyle w:val="OPM-level1"/>
      </w:pPr>
      <w:r w:rsidRPr="00646E56">
        <w:t>The supply is defined to be of potential residential land or</w:t>
      </w:r>
    </w:p>
    <w:p w14:paraId="1559EA61" w14:textId="77777777" w:rsidR="002074A0" w:rsidRPr="00646E56" w:rsidRDefault="002074A0" w:rsidP="002074A0">
      <w:pPr>
        <w:pStyle w:val="OPM-level1"/>
      </w:pPr>
      <w:r w:rsidRPr="00646E56">
        <w:t xml:space="preserve">The supply is defined to </w:t>
      </w:r>
      <w:r w:rsidR="00EA03B8" w:rsidRPr="00646E56">
        <w:t>be of new residential premises.</w:t>
      </w:r>
    </w:p>
    <w:p w14:paraId="358155F1" w14:textId="77777777" w:rsidR="002074A0" w:rsidRDefault="002074A0" w:rsidP="009755B9">
      <w:pPr>
        <w:pStyle w:val="OPM-blankline"/>
      </w:pPr>
    </w:p>
    <w:p w14:paraId="3DCADC10" w14:textId="77777777" w:rsidR="002074A0" w:rsidRDefault="002074A0" w:rsidP="009755B9">
      <w:pPr>
        <w:pStyle w:val="OPM-blankline"/>
      </w:pPr>
    </w:p>
    <w:p w14:paraId="2A691FAA" w14:textId="77777777" w:rsidR="009755B9" w:rsidRDefault="00C70C1C" w:rsidP="009755B9">
      <w:pPr>
        <w:pStyle w:val="OPM-blankline"/>
      </w:pPr>
      <w:r>
        <w:t>19-23</w:t>
      </w:r>
    </w:p>
    <w:p w14:paraId="1DF08C09" w14:textId="652E18DA" w:rsidR="00115448" w:rsidRPr="00646E56" w:rsidRDefault="000B62BE" w:rsidP="000C6A7E">
      <w:pPr>
        <w:pStyle w:val="OPM-conclusion"/>
      </w:pPr>
      <w:bookmarkStart w:id="19" w:name="_Toc528662565"/>
      <w:bookmarkStart w:id="20" w:name="_Toc528672430"/>
      <w:r w:rsidRPr="00646E56">
        <w:t>The supply is</w:t>
      </w:r>
      <w:r w:rsidR="00511B45" w:rsidRPr="00646E56">
        <w:t xml:space="preserve"> of potential residential land if</w:t>
      </w:r>
      <w:bookmarkEnd w:id="19"/>
      <w:bookmarkEnd w:id="20"/>
    </w:p>
    <w:p w14:paraId="3038EF7D" w14:textId="77777777" w:rsidR="00115448" w:rsidRPr="00646E56" w:rsidRDefault="00434B75" w:rsidP="00115448">
      <w:pPr>
        <w:pStyle w:val="OPM-level1"/>
      </w:pPr>
      <w:r w:rsidRPr="00646E56">
        <w:t>The property is</w:t>
      </w:r>
      <w:r w:rsidR="00115448" w:rsidRPr="00646E56">
        <w:t xml:space="preserve"> of 'potential residential land' and</w:t>
      </w:r>
    </w:p>
    <w:p w14:paraId="13486D6C" w14:textId="77777777" w:rsidR="00115448" w:rsidRPr="00646E56" w:rsidRDefault="00115448" w:rsidP="00115448">
      <w:pPr>
        <w:pStyle w:val="OPM-level1"/>
      </w:pPr>
      <w:r w:rsidRPr="00646E56">
        <w:t>The property is included in a 'property subdivision plan’ and</w:t>
      </w:r>
    </w:p>
    <w:p w14:paraId="5C9A87FF" w14:textId="77777777" w:rsidR="00115448" w:rsidRPr="00646E56" w:rsidRDefault="00115448" w:rsidP="00115448">
      <w:pPr>
        <w:pStyle w:val="OPM-level1"/>
      </w:pPr>
      <w:r w:rsidRPr="00646E56">
        <w:t>The property does not contain any building that is in use for a commercial purpose and</w:t>
      </w:r>
    </w:p>
    <w:p w14:paraId="2F603195" w14:textId="77777777" w:rsidR="00115448" w:rsidRPr="00646E56" w:rsidRDefault="00115448" w:rsidP="00115448">
      <w:pPr>
        <w:pStyle w:val="OPM-level1"/>
      </w:pPr>
      <w:r w:rsidRPr="00646E56">
        <w:t>either</w:t>
      </w:r>
    </w:p>
    <w:p w14:paraId="185AE2D8" w14:textId="77777777" w:rsidR="00115448" w:rsidRPr="00646E56" w:rsidRDefault="00115448" w:rsidP="00115448">
      <w:pPr>
        <w:pStyle w:val="OPM-level2"/>
      </w:pPr>
      <w:r w:rsidRPr="00646E56">
        <w:t>The purchaser is not registered for GST or</w:t>
      </w:r>
    </w:p>
    <w:p w14:paraId="71BD3768" w14:textId="77777777" w:rsidR="00115448" w:rsidRPr="00646E56" w:rsidRDefault="00115448" w:rsidP="00115448">
      <w:pPr>
        <w:pStyle w:val="OPM-level2"/>
      </w:pPr>
      <w:r w:rsidRPr="00646E56">
        <w:t>The purchaser is registered but does not purchase the property for a creditable purpose.</w:t>
      </w:r>
    </w:p>
    <w:p w14:paraId="030380CE" w14:textId="77777777" w:rsidR="00115448" w:rsidRPr="009755B9" w:rsidRDefault="00115448" w:rsidP="009755B9">
      <w:pPr>
        <w:pStyle w:val="OPM-blankline"/>
      </w:pPr>
    </w:p>
    <w:p w14:paraId="3871013B" w14:textId="77777777" w:rsidR="00BB7B18" w:rsidRDefault="00410CC5" w:rsidP="00FD40C9">
      <w:pPr>
        <w:pStyle w:val="OPM-blankline"/>
      </w:pPr>
      <w:r>
        <w:t>1 -2 need to be true</w:t>
      </w:r>
    </w:p>
    <w:p w14:paraId="6248F639" w14:textId="77777777" w:rsidR="00410CC5" w:rsidRDefault="00410CC5" w:rsidP="00FD40C9">
      <w:pPr>
        <w:pStyle w:val="OPM-blankline"/>
      </w:pPr>
      <w:r>
        <w:t>3 – needs to be false</w:t>
      </w:r>
    </w:p>
    <w:p w14:paraId="241AC59F" w14:textId="77777777" w:rsidR="00410CC5" w:rsidRDefault="00410CC5" w:rsidP="00FD40C9">
      <w:pPr>
        <w:pStyle w:val="OPM-blankline"/>
      </w:pPr>
      <w:r>
        <w:t>4 –</w:t>
      </w:r>
      <w:r w:rsidR="00A15F11">
        <w:t xml:space="preserve"> Software maps question to be positive – so input needs to be false -</w:t>
      </w:r>
      <w:r>
        <w:t xml:space="preserve"> needs to be false or</w:t>
      </w:r>
    </w:p>
    <w:p w14:paraId="321C213B" w14:textId="77777777" w:rsidR="00410CC5" w:rsidRDefault="00410CC5" w:rsidP="00FD40C9">
      <w:pPr>
        <w:pStyle w:val="OPM-blankline"/>
      </w:pPr>
      <w:r>
        <w:t>5 - needs to be false</w:t>
      </w:r>
    </w:p>
    <w:p w14:paraId="7C339E4F" w14:textId="77777777" w:rsidR="00FD40C9" w:rsidRDefault="00FD40C9"/>
    <w:p w14:paraId="634D40A5" w14:textId="77777777" w:rsidR="002E7932" w:rsidRDefault="002E7932">
      <w:r>
        <w:t xml:space="preserve">17. </w:t>
      </w:r>
    </w:p>
    <w:p w14:paraId="3B32E38D" w14:textId="77777777" w:rsidR="002E7932" w:rsidRDefault="002E7932"/>
    <w:p w14:paraId="2A50756F" w14:textId="77777777" w:rsidR="00620AD9" w:rsidRDefault="00620AD9"/>
    <w:p w14:paraId="6BB5FBAA" w14:textId="77777777" w:rsidR="00486686" w:rsidRDefault="00C2426E">
      <w:r>
        <w:t xml:space="preserve">Source </w:t>
      </w:r>
    </w:p>
    <w:p w14:paraId="3F848884" w14:textId="77777777" w:rsidR="00C2426E" w:rsidRDefault="00C2426E">
      <w:r>
        <w:t>…</w:t>
      </w:r>
    </w:p>
    <w:sectPr w:rsidR="00C2426E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86F74" w14:textId="77777777" w:rsidR="00813D31" w:rsidRDefault="00813D31">
      <w:r>
        <w:separator/>
      </w:r>
    </w:p>
  </w:endnote>
  <w:endnote w:type="continuationSeparator" w:id="0">
    <w:p w14:paraId="3DBE78D8" w14:textId="77777777" w:rsidR="00813D31" w:rsidRDefault="0081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Malgun Gothic Semilight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2CFD" w14:textId="51DFAD14" w:rsidR="00FB31D7" w:rsidRDefault="00DA4A2C">
    <w:pPr>
      <w:pStyle w:val="Footer"/>
      <w:tabs>
        <w:tab w:val="clear" w:pos="8640"/>
      </w:tabs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669BD">
      <w:rPr>
        <w:noProof/>
      </w:rPr>
      <w:t>4</w:t>
    </w:r>
    <w:r w:rsidR="006A61D1">
      <w:rPr>
        <w:noProof/>
      </w:rPr>
      <w:fldChar w:fldCharType="end"/>
    </w:r>
  </w:p>
  <w:p w14:paraId="6F85D447" w14:textId="4570DD80"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5B392A">
      <w:rPr>
        <w:noProof/>
      </w:rPr>
      <w:t>31/10/2018 2:29 PM</w:t>
    </w:r>
    <w:r>
      <w:rPr>
        <w:noProof/>
      </w:rPr>
      <w:fldChar w:fldCharType="end"/>
    </w:r>
  </w:p>
  <w:p w14:paraId="7C2D96FC" w14:textId="77777777" w:rsidR="00FB31D7" w:rsidRDefault="00FB31D7"/>
  <w:p w14:paraId="7C0630AA" w14:textId="77777777"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5531B" w14:textId="77777777" w:rsidR="00813D31" w:rsidRDefault="00813D31">
      <w:r>
        <w:separator/>
      </w:r>
    </w:p>
  </w:footnote>
  <w:footnote w:type="continuationSeparator" w:id="0">
    <w:p w14:paraId="11210AE0" w14:textId="77777777" w:rsidR="00813D31" w:rsidRDefault="0081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00C"/>
    <w:multiLevelType w:val="singleLevel"/>
    <w:tmpl w:val="C6EE1BF2"/>
    <w:lvl w:ilvl="0">
      <w:start w:val="1"/>
      <w:numFmt w:val="bullet"/>
      <w:pStyle w:val="Bullet2"/>
      <w:lvlText w:val="•"/>
      <w:lvlJc w:val="left"/>
      <w:pPr>
        <w:tabs>
          <w:tab w:val="num" w:pos="1418"/>
        </w:tabs>
        <w:ind w:left="1418" w:hanging="709"/>
      </w:pPr>
      <w:rPr>
        <w:rFonts w:ascii="Garamond" w:hAnsi="Garamond" w:hint="default"/>
        <w:b w:val="0"/>
        <w:i w:val="0"/>
        <w:sz w:val="24"/>
      </w:rPr>
    </w:lvl>
  </w:abstractNum>
  <w:abstractNum w:abstractNumId="1" w15:restartNumberingAfterBreak="0">
    <w:nsid w:val="3D5A7286"/>
    <w:multiLevelType w:val="multilevel"/>
    <w:tmpl w:val="CC02137E"/>
    <w:lvl w:ilvl="0">
      <w:start w:val="1"/>
      <w:numFmt w:val="decimal"/>
      <w:pStyle w:val="Allens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Allens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AllensHeading3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AllensHeading4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pStyle w:val="Allens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pStyle w:val="Allens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2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A7A0B79"/>
    <w:multiLevelType w:val="hybridMultilevel"/>
    <w:tmpl w:val="C20003BC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0525F"/>
    <w:rsid w:val="000416B4"/>
    <w:rsid w:val="00057555"/>
    <w:rsid w:val="00065677"/>
    <w:rsid w:val="00065AB2"/>
    <w:rsid w:val="0007295E"/>
    <w:rsid w:val="0007398C"/>
    <w:rsid w:val="00083D24"/>
    <w:rsid w:val="0008527E"/>
    <w:rsid w:val="0008605A"/>
    <w:rsid w:val="0008634F"/>
    <w:rsid w:val="0009152C"/>
    <w:rsid w:val="00091DDC"/>
    <w:rsid w:val="000A7CF7"/>
    <w:rsid w:val="000B350E"/>
    <w:rsid w:val="000B5B74"/>
    <w:rsid w:val="000B62BE"/>
    <w:rsid w:val="000C6A7E"/>
    <w:rsid w:val="000D0357"/>
    <w:rsid w:val="000D65DF"/>
    <w:rsid w:val="000E46DD"/>
    <w:rsid w:val="000F048E"/>
    <w:rsid w:val="000F3DE9"/>
    <w:rsid w:val="000F4783"/>
    <w:rsid w:val="000F5159"/>
    <w:rsid w:val="000F6AB1"/>
    <w:rsid w:val="00101091"/>
    <w:rsid w:val="001050BE"/>
    <w:rsid w:val="00115448"/>
    <w:rsid w:val="00120091"/>
    <w:rsid w:val="00124AF7"/>
    <w:rsid w:val="0013022B"/>
    <w:rsid w:val="00144129"/>
    <w:rsid w:val="00156B3C"/>
    <w:rsid w:val="001603C0"/>
    <w:rsid w:val="00160AAB"/>
    <w:rsid w:val="00160D98"/>
    <w:rsid w:val="00167572"/>
    <w:rsid w:val="00175F83"/>
    <w:rsid w:val="00182F26"/>
    <w:rsid w:val="00191781"/>
    <w:rsid w:val="001A3F5D"/>
    <w:rsid w:val="001A654E"/>
    <w:rsid w:val="001B09CF"/>
    <w:rsid w:val="001C371E"/>
    <w:rsid w:val="001D27CE"/>
    <w:rsid w:val="001D3460"/>
    <w:rsid w:val="001E0CD2"/>
    <w:rsid w:val="001E4FC9"/>
    <w:rsid w:val="001E695B"/>
    <w:rsid w:val="002074A0"/>
    <w:rsid w:val="00226B82"/>
    <w:rsid w:val="00227249"/>
    <w:rsid w:val="00237B06"/>
    <w:rsid w:val="002405D9"/>
    <w:rsid w:val="00241F46"/>
    <w:rsid w:val="00242497"/>
    <w:rsid w:val="00247621"/>
    <w:rsid w:val="002537E6"/>
    <w:rsid w:val="00261B5A"/>
    <w:rsid w:val="00267E45"/>
    <w:rsid w:val="002954EB"/>
    <w:rsid w:val="002B3BBE"/>
    <w:rsid w:val="002C1E16"/>
    <w:rsid w:val="002C235D"/>
    <w:rsid w:val="002D26F6"/>
    <w:rsid w:val="002E4421"/>
    <w:rsid w:val="002E478D"/>
    <w:rsid w:val="002E7932"/>
    <w:rsid w:val="0030417E"/>
    <w:rsid w:val="0030544C"/>
    <w:rsid w:val="003128E4"/>
    <w:rsid w:val="00321CD0"/>
    <w:rsid w:val="00323B86"/>
    <w:rsid w:val="0032496B"/>
    <w:rsid w:val="00325F72"/>
    <w:rsid w:val="0032779D"/>
    <w:rsid w:val="0034010E"/>
    <w:rsid w:val="00342FBF"/>
    <w:rsid w:val="00351FE6"/>
    <w:rsid w:val="00360371"/>
    <w:rsid w:val="00364F13"/>
    <w:rsid w:val="00373E26"/>
    <w:rsid w:val="00373E52"/>
    <w:rsid w:val="00376122"/>
    <w:rsid w:val="003837F6"/>
    <w:rsid w:val="003923F0"/>
    <w:rsid w:val="0039646C"/>
    <w:rsid w:val="003A0D48"/>
    <w:rsid w:val="003A2C08"/>
    <w:rsid w:val="003B2011"/>
    <w:rsid w:val="003B3AF6"/>
    <w:rsid w:val="003C5031"/>
    <w:rsid w:val="003D2C64"/>
    <w:rsid w:val="003D38B4"/>
    <w:rsid w:val="003D6CEE"/>
    <w:rsid w:val="003E003E"/>
    <w:rsid w:val="003E2043"/>
    <w:rsid w:val="003F0733"/>
    <w:rsid w:val="00410CC5"/>
    <w:rsid w:val="00413176"/>
    <w:rsid w:val="00415FDC"/>
    <w:rsid w:val="00416A1B"/>
    <w:rsid w:val="004178BC"/>
    <w:rsid w:val="00424599"/>
    <w:rsid w:val="0042488B"/>
    <w:rsid w:val="00434B75"/>
    <w:rsid w:val="0044207F"/>
    <w:rsid w:val="004430A2"/>
    <w:rsid w:val="004465C4"/>
    <w:rsid w:val="00447429"/>
    <w:rsid w:val="004504D7"/>
    <w:rsid w:val="00452EFA"/>
    <w:rsid w:val="0046796A"/>
    <w:rsid w:val="00481669"/>
    <w:rsid w:val="00482358"/>
    <w:rsid w:val="00486686"/>
    <w:rsid w:val="004939AE"/>
    <w:rsid w:val="004B62C5"/>
    <w:rsid w:val="004B6EB8"/>
    <w:rsid w:val="004C6C51"/>
    <w:rsid w:val="004C727A"/>
    <w:rsid w:val="004D4A82"/>
    <w:rsid w:val="004E0D9C"/>
    <w:rsid w:val="004F2559"/>
    <w:rsid w:val="004F312D"/>
    <w:rsid w:val="004F5564"/>
    <w:rsid w:val="00501E2E"/>
    <w:rsid w:val="005047AE"/>
    <w:rsid w:val="00506049"/>
    <w:rsid w:val="00506B2A"/>
    <w:rsid w:val="00511B45"/>
    <w:rsid w:val="005228EC"/>
    <w:rsid w:val="00524671"/>
    <w:rsid w:val="00526210"/>
    <w:rsid w:val="005314DD"/>
    <w:rsid w:val="0053506A"/>
    <w:rsid w:val="00570524"/>
    <w:rsid w:val="005814FA"/>
    <w:rsid w:val="005914D9"/>
    <w:rsid w:val="005A1EE6"/>
    <w:rsid w:val="005B05B5"/>
    <w:rsid w:val="005B392A"/>
    <w:rsid w:val="005D04FA"/>
    <w:rsid w:val="005D18BF"/>
    <w:rsid w:val="005D3051"/>
    <w:rsid w:val="005D451A"/>
    <w:rsid w:val="005E08CB"/>
    <w:rsid w:val="00601986"/>
    <w:rsid w:val="00602DD1"/>
    <w:rsid w:val="0061148C"/>
    <w:rsid w:val="0061190F"/>
    <w:rsid w:val="00611F29"/>
    <w:rsid w:val="00613793"/>
    <w:rsid w:val="006137D2"/>
    <w:rsid w:val="00620AD9"/>
    <w:rsid w:val="0062341B"/>
    <w:rsid w:val="00626FBD"/>
    <w:rsid w:val="00632BF3"/>
    <w:rsid w:val="00641396"/>
    <w:rsid w:val="0064676E"/>
    <w:rsid w:val="00646B07"/>
    <w:rsid w:val="00646E56"/>
    <w:rsid w:val="006557D5"/>
    <w:rsid w:val="0066034A"/>
    <w:rsid w:val="00661A26"/>
    <w:rsid w:val="0066629D"/>
    <w:rsid w:val="006664A6"/>
    <w:rsid w:val="006717C0"/>
    <w:rsid w:val="006721FE"/>
    <w:rsid w:val="006A61D1"/>
    <w:rsid w:val="006B05F7"/>
    <w:rsid w:val="006B51CD"/>
    <w:rsid w:val="006C69BE"/>
    <w:rsid w:val="006D026D"/>
    <w:rsid w:val="006D1148"/>
    <w:rsid w:val="006D2B2E"/>
    <w:rsid w:val="006D7400"/>
    <w:rsid w:val="006E394C"/>
    <w:rsid w:val="006F351F"/>
    <w:rsid w:val="006F7FE1"/>
    <w:rsid w:val="0070107A"/>
    <w:rsid w:val="00701DFD"/>
    <w:rsid w:val="00727545"/>
    <w:rsid w:val="0074585D"/>
    <w:rsid w:val="00764F9A"/>
    <w:rsid w:val="0077247A"/>
    <w:rsid w:val="00772B5A"/>
    <w:rsid w:val="00774752"/>
    <w:rsid w:val="007748F2"/>
    <w:rsid w:val="00781022"/>
    <w:rsid w:val="00782A15"/>
    <w:rsid w:val="00783573"/>
    <w:rsid w:val="00783F2A"/>
    <w:rsid w:val="00785C9F"/>
    <w:rsid w:val="00796FBB"/>
    <w:rsid w:val="007B0574"/>
    <w:rsid w:val="007B0C0E"/>
    <w:rsid w:val="007B5097"/>
    <w:rsid w:val="007B7F8B"/>
    <w:rsid w:val="007C1FA9"/>
    <w:rsid w:val="007D4328"/>
    <w:rsid w:val="007E1EA9"/>
    <w:rsid w:val="007E3B80"/>
    <w:rsid w:val="007F5244"/>
    <w:rsid w:val="007F587C"/>
    <w:rsid w:val="00811338"/>
    <w:rsid w:val="00813B09"/>
    <w:rsid w:val="00813D31"/>
    <w:rsid w:val="008166AD"/>
    <w:rsid w:val="00823F2E"/>
    <w:rsid w:val="00824DEB"/>
    <w:rsid w:val="00830939"/>
    <w:rsid w:val="0084317F"/>
    <w:rsid w:val="00847B0C"/>
    <w:rsid w:val="00852D0C"/>
    <w:rsid w:val="00860B21"/>
    <w:rsid w:val="008676F7"/>
    <w:rsid w:val="00882654"/>
    <w:rsid w:val="00886A99"/>
    <w:rsid w:val="008960A1"/>
    <w:rsid w:val="00896539"/>
    <w:rsid w:val="008A1D14"/>
    <w:rsid w:val="008A28EF"/>
    <w:rsid w:val="008A5E81"/>
    <w:rsid w:val="008A7253"/>
    <w:rsid w:val="008B132B"/>
    <w:rsid w:val="008B5172"/>
    <w:rsid w:val="008B5639"/>
    <w:rsid w:val="008C38A4"/>
    <w:rsid w:val="008C7B14"/>
    <w:rsid w:val="008E282B"/>
    <w:rsid w:val="008E4574"/>
    <w:rsid w:val="008E5A14"/>
    <w:rsid w:val="008F250A"/>
    <w:rsid w:val="008F3664"/>
    <w:rsid w:val="008F5EDE"/>
    <w:rsid w:val="00900BCF"/>
    <w:rsid w:val="00904BC6"/>
    <w:rsid w:val="00907173"/>
    <w:rsid w:val="009106C9"/>
    <w:rsid w:val="0092108E"/>
    <w:rsid w:val="0092609A"/>
    <w:rsid w:val="00935777"/>
    <w:rsid w:val="00945182"/>
    <w:rsid w:val="00945779"/>
    <w:rsid w:val="0094674F"/>
    <w:rsid w:val="0097250D"/>
    <w:rsid w:val="009755B9"/>
    <w:rsid w:val="00985C1D"/>
    <w:rsid w:val="00987B90"/>
    <w:rsid w:val="009A46CC"/>
    <w:rsid w:val="009A6341"/>
    <w:rsid w:val="009B35CE"/>
    <w:rsid w:val="009B3E4A"/>
    <w:rsid w:val="009C3FB7"/>
    <w:rsid w:val="009C650E"/>
    <w:rsid w:val="009D0171"/>
    <w:rsid w:val="009E5410"/>
    <w:rsid w:val="009F1310"/>
    <w:rsid w:val="009F6839"/>
    <w:rsid w:val="00A0112C"/>
    <w:rsid w:val="00A10E5E"/>
    <w:rsid w:val="00A13E42"/>
    <w:rsid w:val="00A15F11"/>
    <w:rsid w:val="00A16864"/>
    <w:rsid w:val="00A218C1"/>
    <w:rsid w:val="00A23267"/>
    <w:rsid w:val="00A321CB"/>
    <w:rsid w:val="00A32E2E"/>
    <w:rsid w:val="00A379D2"/>
    <w:rsid w:val="00A563E2"/>
    <w:rsid w:val="00A67A4D"/>
    <w:rsid w:val="00AA3B7E"/>
    <w:rsid w:val="00AA6A62"/>
    <w:rsid w:val="00AC25BC"/>
    <w:rsid w:val="00AD0B0C"/>
    <w:rsid w:val="00AD6730"/>
    <w:rsid w:val="00AE24A1"/>
    <w:rsid w:val="00AE2EDD"/>
    <w:rsid w:val="00B0336A"/>
    <w:rsid w:val="00B164C3"/>
    <w:rsid w:val="00B23E59"/>
    <w:rsid w:val="00B473B8"/>
    <w:rsid w:val="00B51864"/>
    <w:rsid w:val="00B51C3E"/>
    <w:rsid w:val="00B54EF6"/>
    <w:rsid w:val="00B6344C"/>
    <w:rsid w:val="00B63F8C"/>
    <w:rsid w:val="00B6470C"/>
    <w:rsid w:val="00B67434"/>
    <w:rsid w:val="00B96A89"/>
    <w:rsid w:val="00B97DA0"/>
    <w:rsid w:val="00BA0DB6"/>
    <w:rsid w:val="00BB7B18"/>
    <w:rsid w:val="00BC0ADD"/>
    <w:rsid w:val="00BC4E8D"/>
    <w:rsid w:val="00BC5CA0"/>
    <w:rsid w:val="00BC5FEC"/>
    <w:rsid w:val="00BC7027"/>
    <w:rsid w:val="00BF45A0"/>
    <w:rsid w:val="00BF76A6"/>
    <w:rsid w:val="00C04CA0"/>
    <w:rsid w:val="00C2426E"/>
    <w:rsid w:val="00C25739"/>
    <w:rsid w:val="00C2624A"/>
    <w:rsid w:val="00C33640"/>
    <w:rsid w:val="00C34AAB"/>
    <w:rsid w:val="00C3534C"/>
    <w:rsid w:val="00C36CE3"/>
    <w:rsid w:val="00C4171F"/>
    <w:rsid w:val="00C47173"/>
    <w:rsid w:val="00C70C1C"/>
    <w:rsid w:val="00C74861"/>
    <w:rsid w:val="00C8523B"/>
    <w:rsid w:val="00C90129"/>
    <w:rsid w:val="00C95762"/>
    <w:rsid w:val="00CA3DB8"/>
    <w:rsid w:val="00CB5478"/>
    <w:rsid w:val="00CB5917"/>
    <w:rsid w:val="00CD2313"/>
    <w:rsid w:val="00CE3A6C"/>
    <w:rsid w:val="00CE5C77"/>
    <w:rsid w:val="00CF0E03"/>
    <w:rsid w:val="00D00829"/>
    <w:rsid w:val="00D13024"/>
    <w:rsid w:val="00D308A6"/>
    <w:rsid w:val="00D413F7"/>
    <w:rsid w:val="00D51817"/>
    <w:rsid w:val="00D56395"/>
    <w:rsid w:val="00D56FD9"/>
    <w:rsid w:val="00D61C07"/>
    <w:rsid w:val="00D77CC4"/>
    <w:rsid w:val="00D81127"/>
    <w:rsid w:val="00D81610"/>
    <w:rsid w:val="00D941A4"/>
    <w:rsid w:val="00DA168B"/>
    <w:rsid w:val="00DA4A2C"/>
    <w:rsid w:val="00DA4FD5"/>
    <w:rsid w:val="00DA53AC"/>
    <w:rsid w:val="00DA53EB"/>
    <w:rsid w:val="00DC1161"/>
    <w:rsid w:val="00DD53BC"/>
    <w:rsid w:val="00DE5D10"/>
    <w:rsid w:val="00DF4AF4"/>
    <w:rsid w:val="00DF6380"/>
    <w:rsid w:val="00DF7EB1"/>
    <w:rsid w:val="00E06407"/>
    <w:rsid w:val="00E17DCF"/>
    <w:rsid w:val="00E22C1A"/>
    <w:rsid w:val="00E24F10"/>
    <w:rsid w:val="00E34A87"/>
    <w:rsid w:val="00E41150"/>
    <w:rsid w:val="00E454E1"/>
    <w:rsid w:val="00E52CCB"/>
    <w:rsid w:val="00E64889"/>
    <w:rsid w:val="00E71125"/>
    <w:rsid w:val="00E741F8"/>
    <w:rsid w:val="00E808A4"/>
    <w:rsid w:val="00E82589"/>
    <w:rsid w:val="00E82780"/>
    <w:rsid w:val="00EA03B8"/>
    <w:rsid w:val="00EA4628"/>
    <w:rsid w:val="00EA4A7A"/>
    <w:rsid w:val="00EB0366"/>
    <w:rsid w:val="00EC2455"/>
    <w:rsid w:val="00ED01FA"/>
    <w:rsid w:val="00ED1753"/>
    <w:rsid w:val="00EE02D4"/>
    <w:rsid w:val="00EE16DF"/>
    <w:rsid w:val="00EE44A3"/>
    <w:rsid w:val="00EF0BEC"/>
    <w:rsid w:val="00EF16C3"/>
    <w:rsid w:val="00F0574A"/>
    <w:rsid w:val="00F072C3"/>
    <w:rsid w:val="00F10984"/>
    <w:rsid w:val="00F11A00"/>
    <w:rsid w:val="00F11E02"/>
    <w:rsid w:val="00F1259A"/>
    <w:rsid w:val="00F203D1"/>
    <w:rsid w:val="00F234B6"/>
    <w:rsid w:val="00F3181B"/>
    <w:rsid w:val="00F405D5"/>
    <w:rsid w:val="00F40CB0"/>
    <w:rsid w:val="00F428CA"/>
    <w:rsid w:val="00F4741D"/>
    <w:rsid w:val="00F60457"/>
    <w:rsid w:val="00F622E1"/>
    <w:rsid w:val="00F669BD"/>
    <w:rsid w:val="00F71D8C"/>
    <w:rsid w:val="00F85F42"/>
    <w:rsid w:val="00F910DC"/>
    <w:rsid w:val="00F93B48"/>
    <w:rsid w:val="00FA34F3"/>
    <w:rsid w:val="00FA71A6"/>
    <w:rsid w:val="00FB10D7"/>
    <w:rsid w:val="00FB31D7"/>
    <w:rsid w:val="00FB5DE6"/>
    <w:rsid w:val="00FC0C00"/>
    <w:rsid w:val="00FD2A6C"/>
    <w:rsid w:val="00FD40C9"/>
    <w:rsid w:val="00FD58C7"/>
    <w:rsid w:val="00FE51BE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B7329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BF3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2BF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632BF3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632BF3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632BF3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632BF3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32BF3"/>
    <w:pPr>
      <w:spacing w:before="60" w:after="60"/>
      <w:ind w:left="284"/>
    </w:pPr>
  </w:style>
  <w:style w:type="paragraph" w:styleId="Footer">
    <w:name w:val="footer"/>
    <w:basedOn w:val="Normal"/>
    <w:link w:val="FooterChar"/>
    <w:uiPriority w:val="99"/>
    <w:rsid w:val="00632BF3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632BF3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632BF3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632BF3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632BF3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632BF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32BF3"/>
    <w:rPr>
      <w:vertAlign w:val="superscript"/>
    </w:rPr>
  </w:style>
  <w:style w:type="character" w:styleId="CommentReference">
    <w:name w:val="annotation reference"/>
    <w:basedOn w:val="DefaultParagraphFont"/>
    <w:semiHidden/>
    <w:rsid w:val="00632BF3"/>
    <w:rPr>
      <w:sz w:val="16"/>
      <w:szCs w:val="16"/>
    </w:rPr>
  </w:style>
  <w:style w:type="paragraph" w:styleId="DocumentMap">
    <w:name w:val="Document Map"/>
    <w:basedOn w:val="Normal"/>
    <w:semiHidden/>
    <w:rsid w:val="00632BF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632BF3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632BF3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632BF3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632BF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32BF3"/>
    <w:rPr>
      <w:b/>
      <w:bCs/>
    </w:rPr>
  </w:style>
  <w:style w:type="paragraph" w:styleId="BalloonText">
    <w:name w:val="Balloon Text"/>
    <w:basedOn w:val="Normal"/>
    <w:semiHidden/>
    <w:rsid w:val="00632BF3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632BF3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632BF3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632BF3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632BF3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632BF3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632BF3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632BF3"/>
  </w:style>
  <w:style w:type="paragraph" w:customStyle="1" w:styleId="OPM-blankline">
    <w:name w:val="OPM - blank line"/>
    <w:basedOn w:val="Normal"/>
    <w:rsid w:val="00632BF3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632BF3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632BF3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632BF3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632BF3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632BF3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632BF3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632BF3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632BF3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632BF3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632BF3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632BF3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632BF3"/>
    <w:rPr>
      <w:b w:val="0"/>
      <w:i/>
      <w:sz w:val="16"/>
    </w:rPr>
  </w:style>
  <w:style w:type="paragraph" w:customStyle="1" w:styleId="OPM-ruletype">
    <w:name w:val="OPM - rule type"/>
    <w:basedOn w:val="OPM-Heading3"/>
    <w:rsid w:val="00632BF3"/>
    <w:rPr>
      <w:i/>
    </w:rPr>
  </w:style>
  <w:style w:type="table" w:styleId="TableGrid">
    <w:name w:val="Table Grid"/>
    <w:basedOn w:val="TableNormal"/>
    <w:rsid w:val="00632BF3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632BF3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632BF3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218C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18C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218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18C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3B09"/>
    <w:pPr>
      <w:spacing w:after="100"/>
      <w:ind w:left="220"/>
    </w:pPr>
  </w:style>
  <w:style w:type="character" w:styleId="Strong">
    <w:name w:val="Strong"/>
    <w:basedOn w:val="DefaultParagraphFont"/>
    <w:qFormat/>
    <w:rsid w:val="004B6EB8"/>
    <w:rPr>
      <w:b/>
      <w:bCs/>
    </w:rPr>
  </w:style>
  <w:style w:type="paragraph" w:styleId="NormalIndent">
    <w:name w:val="Normal Indent"/>
    <w:basedOn w:val="Normal"/>
    <w:qFormat/>
    <w:rsid w:val="00B54EF6"/>
    <w:pPr>
      <w:spacing w:before="100" w:after="0" w:line="288" w:lineRule="auto"/>
      <w:ind w:left="709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1">
    <w:name w:val="Allens Heading 1"/>
    <w:basedOn w:val="Normal"/>
    <w:next w:val="AllensHeading2"/>
    <w:qFormat/>
    <w:rsid w:val="00B54EF6"/>
    <w:pPr>
      <w:keepNext/>
      <w:numPr>
        <w:numId w:val="1"/>
      </w:numPr>
      <w:spacing w:before="200" w:after="0" w:line="288" w:lineRule="auto"/>
      <w:outlineLvl w:val="0"/>
    </w:pPr>
    <w:rPr>
      <w:rFonts w:ascii="Arial" w:eastAsia="Times New Roman" w:hAnsi="Arial"/>
      <w:b/>
      <w:szCs w:val="20"/>
      <w:lang w:eastAsia="en-AU"/>
    </w:rPr>
  </w:style>
  <w:style w:type="paragraph" w:customStyle="1" w:styleId="AllensHeading2">
    <w:name w:val="Allens Heading 2"/>
    <w:basedOn w:val="Normal"/>
    <w:next w:val="NormalIndent"/>
    <w:qFormat/>
    <w:rsid w:val="00B54EF6"/>
    <w:pPr>
      <w:keepNext/>
      <w:numPr>
        <w:ilvl w:val="1"/>
        <w:numId w:val="1"/>
      </w:numPr>
      <w:spacing w:before="160" w:after="0" w:line="288" w:lineRule="auto"/>
      <w:outlineLvl w:val="1"/>
    </w:pPr>
    <w:rPr>
      <w:rFonts w:ascii="Arial" w:eastAsia="Times New Roman" w:hAnsi="Arial"/>
      <w:b/>
      <w:sz w:val="21"/>
      <w:szCs w:val="20"/>
      <w:lang w:eastAsia="en-AU"/>
    </w:rPr>
  </w:style>
  <w:style w:type="paragraph" w:customStyle="1" w:styleId="AllensHeading3">
    <w:name w:val="Allens Heading 3"/>
    <w:basedOn w:val="Normal"/>
    <w:qFormat/>
    <w:rsid w:val="00B54EF6"/>
    <w:pPr>
      <w:numPr>
        <w:ilvl w:val="2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4">
    <w:name w:val="Allens Heading 4"/>
    <w:basedOn w:val="Normal"/>
    <w:qFormat/>
    <w:rsid w:val="00B54EF6"/>
    <w:pPr>
      <w:numPr>
        <w:ilvl w:val="3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5">
    <w:name w:val="Allens Heading 5"/>
    <w:basedOn w:val="Normal"/>
    <w:qFormat/>
    <w:rsid w:val="00B54EF6"/>
    <w:pPr>
      <w:numPr>
        <w:ilvl w:val="4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6">
    <w:name w:val="Allens Heading 6"/>
    <w:basedOn w:val="Normal"/>
    <w:qFormat/>
    <w:rsid w:val="00B54EF6"/>
    <w:pPr>
      <w:numPr>
        <w:ilvl w:val="5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Bullet2">
    <w:name w:val="Bullet 2"/>
    <w:basedOn w:val="Normal"/>
    <w:qFormat/>
    <w:rsid w:val="008E4574"/>
    <w:pPr>
      <w:numPr>
        <w:numId w:val="2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5B392A"/>
    <w:rPr>
      <w:rFonts w:eastAsia="Batang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60551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8C\Templates\Policy%20Modeling%2012.2.12%20Word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Malgun Gothic Semilight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00"/>
    <w:rsid w:val="001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2232DE98D54F829C1ED116B02A7119">
    <w:name w:val="EF2232DE98D54F829C1ED116B02A7119"/>
    <w:rsid w:val="001D2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09A9-1A18-4E8B-B683-C060D66E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12.2.12 Word Template</Template>
  <TotalTime>3205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Samuel Nixon</cp:lastModifiedBy>
  <cp:revision>283</cp:revision>
  <dcterms:created xsi:type="dcterms:W3CDTF">2012-07-20T01:24:00Z</dcterms:created>
  <dcterms:modified xsi:type="dcterms:W3CDTF">2018-10-31T08:32:00Z</dcterms:modified>
</cp:coreProperties>
</file>