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ACA" w:rsidRPr="001D5C5F" w:rsidRDefault="00CC0ACA" w:rsidP="001D5C5F">
      <w:pPr>
        <w:pStyle w:val="Heading1"/>
        <w:jc w:val="center"/>
        <w:rPr>
          <w:iCs/>
          <w:sz w:val="24"/>
          <w:szCs w:val="28"/>
        </w:rPr>
      </w:pPr>
      <w:bookmarkStart w:id="0" w:name="_Toc528662558"/>
      <w:bookmarkStart w:id="1" w:name="_Toc529451000"/>
      <w:bookmarkStart w:id="2" w:name="_Toc529635529"/>
      <w:bookmarkStart w:id="3" w:name="_Toc529451001"/>
      <w:r>
        <w:t>GST at Settlement</w:t>
      </w:r>
      <w:bookmarkEnd w:id="0"/>
      <w:bookmarkEnd w:id="1"/>
      <w:bookmarkEnd w:id="2"/>
    </w:p>
    <w:p w:rsidR="00CC0ACA" w:rsidRPr="00CC0ACA" w:rsidRDefault="00CC0ACA" w:rsidP="00CC0ACA"/>
    <w:sdt>
      <w:sdtPr>
        <w:rPr>
          <w:rFonts w:ascii="Times New Roman" w:eastAsia="Batang" w:hAnsi="Times New Roman" w:cs="Times New Roman"/>
          <w:color w:val="auto"/>
          <w:sz w:val="22"/>
          <w:szCs w:val="24"/>
          <w:lang w:val="en-AU"/>
        </w:rPr>
        <w:id w:val="-1992015335"/>
        <w:docPartObj>
          <w:docPartGallery w:val="Table of Contents"/>
          <w:docPartUnique/>
        </w:docPartObj>
      </w:sdtPr>
      <w:sdtEndPr>
        <w:rPr>
          <w:b/>
          <w:bCs/>
          <w:noProof/>
        </w:rPr>
      </w:sdtEndPr>
      <w:sdtContent>
        <w:p w:rsidR="00CC0ACA" w:rsidRDefault="00CC0ACA">
          <w:pPr>
            <w:pStyle w:val="TOCHeading"/>
          </w:pPr>
          <w:r>
            <w:t>Contents</w:t>
          </w:r>
        </w:p>
        <w:p w:rsidR="008652E4" w:rsidRDefault="00CC0ACA">
          <w:pPr>
            <w:pStyle w:val="TOC1"/>
            <w:tabs>
              <w:tab w:val="right" w:leader="dot" w:pos="9016"/>
            </w:tabs>
            <w:rPr>
              <w:rFonts w:asciiTheme="minorHAnsi" w:eastAsiaTheme="minorEastAsia" w:hAnsiTheme="minorHAnsi" w:cstheme="minorBidi"/>
              <w:noProof/>
              <w:szCs w:val="22"/>
              <w:lang w:eastAsia="en-AU"/>
            </w:rPr>
          </w:pPr>
          <w:r>
            <w:rPr>
              <w:b/>
              <w:bCs/>
              <w:noProof/>
            </w:rPr>
            <w:fldChar w:fldCharType="begin"/>
          </w:r>
          <w:r>
            <w:rPr>
              <w:b/>
              <w:bCs/>
              <w:noProof/>
            </w:rPr>
            <w:instrText xml:space="preserve"> TOC \o "1-3" \h \z \u </w:instrText>
          </w:r>
          <w:r>
            <w:rPr>
              <w:b/>
              <w:bCs/>
              <w:noProof/>
            </w:rPr>
            <w:fldChar w:fldCharType="separate"/>
          </w:r>
          <w:hyperlink w:anchor="_Toc529635529" w:history="1">
            <w:r w:rsidR="008652E4" w:rsidRPr="007D70EE">
              <w:rPr>
                <w:rStyle w:val="Hyperlink"/>
                <w:noProof/>
              </w:rPr>
              <w:t>GST at Settlement</w:t>
            </w:r>
            <w:r w:rsidR="008652E4">
              <w:rPr>
                <w:noProof/>
                <w:webHidden/>
              </w:rPr>
              <w:tab/>
            </w:r>
            <w:r w:rsidR="008652E4">
              <w:rPr>
                <w:noProof/>
                <w:webHidden/>
              </w:rPr>
              <w:fldChar w:fldCharType="begin"/>
            </w:r>
            <w:r w:rsidR="008652E4">
              <w:rPr>
                <w:noProof/>
                <w:webHidden/>
              </w:rPr>
              <w:instrText xml:space="preserve"> PAGEREF _Toc529635529 \h </w:instrText>
            </w:r>
            <w:r w:rsidR="008652E4">
              <w:rPr>
                <w:noProof/>
                <w:webHidden/>
              </w:rPr>
            </w:r>
            <w:r w:rsidR="008652E4">
              <w:rPr>
                <w:noProof/>
                <w:webHidden/>
              </w:rPr>
              <w:fldChar w:fldCharType="separate"/>
            </w:r>
            <w:r w:rsidR="008652E4">
              <w:rPr>
                <w:noProof/>
                <w:webHidden/>
              </w:rPr>
              <w:t>1</w:t>
            </w:r>
            <w:r w:rsidR="008652E4">
              <w:rPr>
                <w:noProof/>
                <w:webHidden/>
              </w:rPr>
              <w:fldChar w:fldCharType="end"/>
            </w:r>
          </w:hyperlink>
        </w:p>
        <w:p w:rsidR="008652E4" w:rsidRDefault="004D2F82">
          <w:pPr>
            <w:pStyle w:val="TOC2"/>
            <w:tabs>
              <w:tab w:val="right" w:leader="dot" w:pos="9016"/>
            </w:tabs>
            <w:rPr>
              <w:rFonts w:asciiTheme="minorHAnsi" w:eastAsiaTheme="minorEastAsia" w:hAnsiTheme="minorHAnsi" w:cstheme="minorBidi"/>
              <w:noProof/>
              <w:szCs w:val="22"/>
              <w:lang w:eastAsia="en-AU"/>
            </w:rPr>
          </w:pPr>
          <w:hyperlink w:anchor="_Toc529635530" w:history="1">
            <w:r w:rsidR="008652E4" w:rsidRPr="007D70EE">
              <w:rPr>
                <w:rStyle w:val="Hyperlink"/>
                <w:noProof/>
              </w:rPr>
              <w:t>RuleBase Logic – Amount to be Paid</w:t>
            </w:r>
            <w:r w:rsidR="008652E4">
              <w:rPr>
                <w:noProof/>
                <w:webHidden/>
              </w:rPr>
              <w:tab/>
            </w:r>
            <w:r w:rsidR="008652E4">
              <w:rPr>
                <w:noProof/>
                <w:webHidden/>
              </w:rPr>
              <w:fldChar w:fldCharType="begin"/>
            </w:r>
            <w:r w:rsidR="008652E4">
              <w:rPr>
                <w:noProof/>
                <w:webHidden/>
              </w:rPr>
              <w:instrText xml:space="preserve"> PAGEREF _Toc529635530 \h </w:instrText>
            </w:r>
            <w:r w:rsidR="008652E4">
              <w:rPr>
                <w:noProof/>
                <w:webHidden/>
              </w:rPr>
            </w:r>
            <w:r w:rsidR="008652E4">
              <w:rPr>
                <w:noProof/>
                <w:webHidden/>
              </w:rPr>
              <w:fldChar w:fldCharType="separate"/>
            </w:r>
            <w:r w:rsidR="008652E4">
              <w:rPr>
                <w:noProof/>
                <w:webHidden/>
              </w:rPr>
              <w:t>3</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38" w:history="1">
            <w:r w:rsidR="008652E4" w:rsidRPr="007D70EE">
              <w:rPr>
                <w:rStyle w:val="Hyperlink"/>
                <w:i/>
                <w:noProof/>
              </w:rPr>
              <w:t>Payment Type</w:t>
            </w:r>
            <w:r w:rsidR="008652E4">
              <w:rPr>
                <w:noProof/>
                <w:webHidden/>
              </w:rPr>
              <w:tab/>
            </w:r>
            <w:r w:rsidR="008652E4">
              <w:rPr>
                <w:noProof/>
                <w:webHidden/>
              </w:rPr>
              <w:fldChar w:fldCharType="begin"/>
            </w:r>
            <w:r w:rsidR="008652E4">
              <w:rPr>
                <w:noProof/>
                <w:webHidden/>
              </w:rPr>
              <w:instrText xml:space="preserve"> PAGEREF _Toc529635538 \h </w:instrText>
            </w:r>
            <w:r w:rsidR="008652E4">
              <w:rPr>
                <w:noProof/>
                <w:webHidden/>
              </w:rPr>
            </w:r>
            <w:r w:rsidR="008652E4">
              <w:rPr>
                <w:noProof/>
                <w:webHidden/>
              </w:rPr>
              <w:fldChar w:fldCharType="separate"/>
            </w:r>
            <w:r w:rsidR="008652E4">
              <w:rPr>
                <w:noProof/>
                <w:webHidden/>
              </w:rPr>
              <w:t>3</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39" w:history="1">
            <w:r w:rsidR="008652E4" w:rsidRPr="007D70EE">
              <w:rPr>
                <w:rStyle w:val="Hyperlink"/>
                <w:i/>
                <w:noProof/>
              </w:rPr>
              <w:t>Margin Scheme</w:t>
            </w:r>
            <w:r w:rsidR="008652E4">
              <w:rPr>
                <w:noProof/>
                <w:webHidden/>
              </w:rPr>
              <w:tab/>
            </w:r>
            <w:r w:rsidR="008652E4">
              <w:rPr>
                <w:noProof/>
                <w:webHidden/>
              </w:rPr>
              <w:fldChar w:fldCharType="begin"/>
            </w:r>
            <w:r w:rsidR="008652E4">
              <w:rPr>
                <w:noProof/>
                <w:webHidden/>
              </w:rPr>
              <w:instrText xml:space="preserve"> PAGEREF _Toc529635539 \h </w:instrText>
            </w:r>
            <w:r w:rsidR="008652E4">
              <w:rPr>
                <w:noProof/>
                <w:webHidden/>
              </w:rPr>
            </w:r>
            <w:r w:rsidR="008652E4">
              <w:rPr>
                <w:noProof/>
                <w:webHidden/>
              </w:rPr>
              <w:fldChar w:fldCharType="separate"/>
            </w:r>
            <w:r w:rsidR="008652E4">
              <w:rPr>
                <w:noProof/>
                <w:webHidden/>
              </w:rPr>
              <w:t>3</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42" w:history="1">
            <w:r w:rsidR="008652E4" w:rsidRPr="007D70EE">
              <w:rPr>
                <w:rStyle w:val="Hyperlink"/>
                <w:i/>
                <w:noProof/>
              </w:rPr>
              <w:t>Supply between associates</w:t>
            </w:r>
            <w:r w:rsidR="008652E4">
              <w:rPr>
                <w:noProof/>
                <w:webHidden/>
              </w:rPr>
              <w:tab/>
            </w:r>
            <w:r w:rsidR="008652E4">
              <w:rPr>
                <w:noProof/>
                <w:webHidden/>
              </w:rPr>
              <w:fldChar w:fldCharType="begin"/>
            </w:r>
            <w:r w:rsidR="008652E4">
              <w:rPr>
                <w:noProof/>
                <w:webHidden/>
              </w:rPr>
              <w:instrText xml:space="preserve"> PAGEREF _Toc529635542 \h </w:instrText>
            </w:r>
            <w:r w:rsidR="008652E4">
              <w:rPr>
                <w:noProof/>
                <w:webHidden/>
              </w:rPr>
            </w:r>
            <w:r w:rsidR="008652E4">
              <w:rPr>
                <w:noProof/>
                <w:webHidden/>
              </w:rPr>
              <w:fldChar w:fldCharType="separate"/>
            </w:r>
            <w:r w:rsidR="008652E4">
              <w:rPr>
                <w:noProof/>
                <w:webHidden/>
              </w:rPr>
              <w:t>3</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45" w:history="1">
            <w:r w:rsidR="008652E4" w:rsidRPr="007D70EE">
              <w:rPr>
                <w:rStyle w:val="Hyperlink"/>
                <w:i/>
                <w:noProof/>
              </w:rPr>
              <w:t>Part Supply</w:t>
            </w:r>
            <w:r w:rsidR="008652E4">
              <w:rPr>
                <w:noProof/>
                <w:webHidden/>
              </w:rPr>
              <w:tab/>
            </w:r>
            <w:r w:rsidR="008652E4">
              <w:rPr>
                <w:noProof/>
                <w:webHidden/>
              </w:rPr>
              <w:fldChar w:fldCharType="begin"/>
            </w:r>
            <w:r w:rsidR="008652E4">
              <w:rPr>
                <w:noProof/>
                <w:webHidden/>
              </w:rPr>
              <w:instrText xml:space="preserve"> PAGEREF _Toc529635545 \h </w:instrText>
            </w:r>
            <w:r w:rsidR="008652E4">
              <w:rPr>
                <w:noProof/>
                <w:webHidden/>
              </w:rPr>
            </w:r>
            <w:r w:rsidR="008652E4">
              <w:rPr>
                <w:noProof/>
                <w:webHidden/>
              </w:rPr>
              <w:fldChar w:fldCharType="separate"/>
            </w:r>
            <w:r w:rsidR="008652E4">
              <w:rPr>
                <w:noProof/>
                <w:webHidden/>
              </w:rPr>
              <w:t>4</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48" w:history="1">
            <w:r w:rsidR="008652E4" w:rsidRPr="007D70EE">
              <w:rPr>
                <w:rStyle w:val="Hyperlink"/>
                <w:i/>
                <w:noProof/>
              </w:rPr>
              <w:t>Multiple Associates</w:t>
            </w:r>
            <w:r w:rsidR="008652E4">
              <w:rPr>
                <w:noProof/>
                <w:webHidden/>
              </w:rPr>
              <w:tab/>
            </w:r>
            <w:r w:rsidR="008652E4">
              <w:rPr>
                <w:noProof/>
                <w:webHidden/>
              </w:rPr>
              <w:fldChar w:fldCharType="begin"/>
            </w:r>
            <w:r w:rsidR="008652E4">
              <w:rPr>
                <w:noProof/>
                <w:webHidden/>
              </w:rPr>
              <w:instrText xml:space="preserve"> PAGEREF _Toc529635548 \h </w:instrText>
            </w:r>
            <w:r w:rsidR="008652E4">
              <w:rPr>
                <w:noProof/>
                <w:webHidden/>
              </w:rPr>
            </w:r>
            <w:r w:rsidR="008652E4">
              <w:rPr>
                <w:noProof/>
                <w:webHidden/>
              </w:rPr>
              <w:fldChar w:fldCharType="separate"/>
            </w:r>
            <w:r w:rsidR="008652E4">
              <w:rPr>
                <w:noProof/>
                <w:webHidden/>
              </w:rPr>
              <w:t>4</w:t>
            </w:r>
            <w:r w:rsidR="008652E4">
              <w:rPr>
                <w:noProof/>
                <w:webHidden/>
              </w:rPr>
              <w:fldChar w:fldCharType="end"/>
            </w:r>
          </w:hyperlink>
        </w:p>
        <w:p w:rsidR="008652E4" w:rsidRDefault="004D2F82">
          <w:pPr>
            <w:pStyle w:val="TOC2"/>
            <w:tabs>
              <w:tab w:val="right" w:leader="dot" w:pos="9016"/>
            </w:tabs>
            <w:rPr>
              <w:rFonts w:asciiTheme="minorHAnsi" w:eastAsiaTheme="minorEastAsia" w:hAnsiTheme="minorHAnsi" w:cstheme="minorBidi"/>
              <w:noProof/>
              <w:szCs w:val="22"/>
              <w:lang w:eastAsia="en-AU"/>
            </w:rPr>
          </w:pPr>
          <w:hyperlink w:anchor="_Toc529635551" w:history="1">
            <w:r w:rsidR="008652E4" w:rsidRPr="007D70EE">
              <w:rPr>
                <w:rStyle w:val="Hyperlink"/>
                <w:noProof/>
              </w:rPr>
              <w:t>RuleBase Logic – Interview Control</w:t>
            </w:r>
            <w:r w:rsidR="008652E4">
              <w:rPr>
                <w:noProof/>
                <w:webHidden/>
              </w:rPr>
              <w:tab/>
            </w:r>
            <w:r w:rsidR="008652E4">
              <w:rPr>
                <w:noProof/>
                <w:webHidden/>
              </w:rPr>
              <w:fldChar w:fldCharType="begin"/>
            </w:r>
            <w:r w:rsidR="008652E4">
              <w:rPr>
                <w:noProof/>
                <w:webHidden/>
              </w:rPr>
              <w:instrText xml:space="preserve"> PAGEREF _Toc529635551 \h </w:instrText>
            </w:r>
            <w:r w:rsidR="008652E4">
              <w:rPr>
                <w:noProof/>
                <w:webHidden/>
              </w:rPr>
            </w:r>
            <w:r w:rsidR="008652E4">
              <w:rPr>
                <w:noProof/>
                <w:webHidden/>
              </w:rPr>
              <w:fldChar w:fldCharType="separate"/>
            </w:r>
            <w:r w:rsidR="008652E4">
              <w:rPr>
                <w:noProof/>
                <w:webHidden/>
              </w:rPr>
              <w:t>5</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52" w:history="1">
            <w:r w:rsidR="008652E4" w:rsidRPr="007D70EE">
              <w:rPr>
                <w:rStyle w:val="Hyperlink"/>
                <w:i/>
                <w:noProof/>
              </w:rPr>
              <w:t>Interview Control – Payment case</w:t>
            </w:r>
            <w:r w:rsidR="008652E4">
              <w:rPr>
                <w:noProof/>
                <w:webHidden/>
              </w:rPr>
              <w:tab/>
            </w:r>
            <w:r w:rsidR="008652E4">
              <w:rPr>
                <w:noProof/>
                <w:webHidden/>
              </w:rPr>
              <w:fldChar w:fldCharType="begin"/>
            </w:r>
            <w:r w:rsidR="008652E4">
              <w:rPr>
                <w:noProof/>
                <w:webHidden/>
              </w:rPr>
              <w:instrText xml:space="preserve"> PAGEREF _Toc529635552 \h </w:instrText>
            </w:r>
            <w:r w:rsidR="008652E4">
              <w:rPr>
                <w:noProof/>
                <w:webHidden/>
              </w:rPr>
            </w:r>
            <w:r w:rsidR="008652E4">
              <w:rPr>
                <w:noProof/>
                <w:webHidden/>
              </w:rPr>
              <w:fldChar w:fldCharType="separate"/>
            </w:r>
            <w:r w:rsidR="008652E4">
              <w:rPr>
                <w:noProof/>
                <w:webHidden/>
              </w:rPr>
              <w:t>5</w:t>
            </w:r>
            <w:r w:rsidR="008652E4">
              <w:rPr>
                <w:noProof/>
                <w:webHidden/>
              </w:rPr>
              <w:fldChar w:fldCharType="end"/>
            </w:r>
          </w:hyperlink>
        </w:p>
        <w:p w:rsidR="008652E4" w:rsidRDefault="004D2F82" w:rsidP="008652E4">
          <w:pPr>
            <w:pStyle w:val="TOC3"/>
            <w:tabs>
              <w:tab w:val="right" w:leader="dot" w:pos="9016"/>
            </w:tabs>
            <w:rPr>
              <w:rFonts w:asciiTheme="minorHAnsi" w:eastAsiaTheme="minorEastAsia" w:hAnsiTheme="minorHAnsi" w:cstheme="minorBidi"/>
              <w:noProof/>
              <w:szCs w:val="22"/>
              <w:lang w:eastAsia="en-AU"/>
            </w:rPr>
          </w:pPr>
          <w:hyperlink w:anchor="_Toc529635557" w:history="1">
            <w:r w:rsidR="008652E4" w:rsidRPr="007D70EE">
              <w:rPr>
                <w:rStyle w:val="Hyperlink"/>
                <w:i/>
                <w:noProof/>
              </w:rPr>
              <w:t>Interview Control – Supply between associates</w:t>
            </w:r>
            <w:r w:rsidR="008652E4">
              <w:rPr>
                <w:noProof/>
                <w:webHidden/>
              </w:rPr>
              <w:tab/>
            </w:r>
            <w:r w:rsidR="008652E4">
              <w:rPr>
                <w:noProof/>
                <w:webHidden/>
              </w:rPr>
              <w:fldChar w:fldCharType="begin"/>
            </w:r>
            <w:r w:rsidR="008652E4">
              <w:rPr>
                <w:noProof/>
                <w:webHidden/>
              </w:rPr>
              <w:instrText xml:space="preserve"> PAGEREF _Toc529635557 \h </w:instrText>
            </w:r>
            <w:r w:rsidR="008652E4">
              <w:rPr>
                <w:noProof/>
                <w:webHidden/>
              </w:rPr>
            </w:r>
            <w:r w:rsidR="008652E4">
              <w:rPr>
                <w:noProof/>
                <w:webHidden/>
              </w:rPr>
              <w:fldChar w:fldCharType="separate"/>
            </w:r>
            <w:r w:rsidR="008652E4">
              <w:rPr>
                <w:noProof/>
                <w:webHidden/>
              </w:rPr>
              <w:t>5</w:t>
            </w:r>
            <w:r w:rsidR="008652E4">
              <w:rPr>
                <w:noProof/>
                <w:webHidden/>
              </w:rPr>
              <w:fldChar w:fldCharType="end"/>
            </w:r>
          </w:hyperlink>
        </w:p>
        <w:p w:rsidR="008652E4" w:rsidRDefault="004D2F82">
          <w:pPr>
            <w:pStyle w:val="TOC3"/>
            <w:tabs>
              <w:tab w:val="right" w:leader="dot" w:pos="9016"/>
            </w:tabs>
            <w:rPr>
              <w:rFonts w:asciiTheme="minorHAnsi" w:eastAsiaTheme="minorEastAsia" w:hAnsiTheme="minorHAnsi" w:cstheme="minorBidi"/>
              <w:noProof/>
              <w:szCs w:val="22"/>
              <w:lang w:eastAsia="en-AU"/>
            </w:rPr>
          </w:pPr>
          <w:hyperlink w:anchor="_Toc529635559" w:history="1">
            <w:r w:rsidR="008652E4" w:rsidRPr="007D70EE">
              <w:rPr>
                <w:rStyle w:val="Hyperlink"/>
                <w:i/>
                <w:noProof/>
              </w:rPr>
              <w:t>Interview Control – Supply between associates</w:t>
            </w:r>
            <w:r w:rsidR="008652E4">
              <w:rPr>
                <w:noProof/>
                <w:webHidden/>
              </w:rPr>
              <w:tab/>
            </w:r>
            <w:r w:rsidR="008652E4">
              <w:rPr>
                <w:noProof/>
                <w:webHidden/>
              </w:rPr>
              <w:fldChar w:fldCharType="begin"/>
            </w:r>
            <w:r w:rsidR="008652E4">
              <w:rPr>
                <w:noProof/>
                <w:webHidden/>
              </w:rPr>
              <w:instrText xml:space="preserve"> PAGEREF _Toc529635559 \h </w:instrText>
            </w:r>
            <w:r w:rsidR="008652E4">
              <w:rPr>
                <w:noProof/>
                <w:webHidden/>
              </w:rPr>
            </w:r>
            <w:r w:rsidR="008652E4">
              <w:rPr>
                <w:noProof/>
                <w:webHidden/>
              </w:rPr>
              <w:fldChar w:fldCharType="separate"/>
            </w:r>
            <w:r w:rsidR="008652E4">
              <w:rPr>
                <w:noProof/>
                <w:webHidden/>
              </w:rPr>
              <w:t>5</w:t>
            </w:r>
            <w:r w:rsidR="008652E4">
              <w:rPr>
                <w:noProof/>
                <w:webHidden/>
              </w:rPr>
              <w:fldChar w:fldCharType="end"/>
            </w:r>
          </w:hyperlink>
        </w:p>
        <w:p w:rsidR="008652E4" w:rsidRDefault="004D2F82">
          <w:pPr>
            <w:pStyle w:val="TOC2"/>
            <w:tabs>
              <w:tab w:val="right" w:leader="dot" w:pos="9016"/>
            </w:tabs>
            <w:rPr>
              <w:rFonts w:asciiTheme="minorHAnsi" w:eastAsiaTheme="minorEastAsia" w:hAnsiTheme="minorHAnsi" w:cstheme="minorBidi"/>
              <w:noProof/>
              <w:szCs w:val="22"/>
              <w:lang w:eastAsia="en-AU"/>
            </w:rPr>
          </w:pPr>
          <w:hyperlink w:anchor="_Toc529635561" w:history="1">
            <w:r w:rsidR="008652E4" w:rsidRPr="007D70EE">
              <w:rPr>
                <w:rStyle w:val="Hyperlink"/>
                <w:noProof/>
              </w:rPr>
              <w:t>Appendix</w:t>
            </w:r>
            <w:r w:rsidR="008652E4">
              <w:rPr>
                <w:noProof/>
                <w:webHidden/>
              </w:rPr>
              <w:tab/>
            </w:r>
            <w:r w:rsidR="008652E4">
              <w:rPr>
                <w:noProof/>
                <w:webHidden/>
              </w:rPr>
              <w:fldChar w:fldCharType="begin"/>
            </w:r>
            <w:r w:rsidR="008652E4">
              <w:rPr>
                <w:noProof/>
                <w:webHidden/>
              </w:rPr>
              <w:instrText xml:space="preserve"> PAGEREF _Toc529635561 \h </w:instrText>
            </w:r>
            <w:r w:rsidR="008652E4">
              <w:rPr>
                <w:noProof/>
                <w:webHidden/>
              </w:rPr>
            </w:r>
            <w:r w:rsidR="008652E4">
              <w:rPr>
                <w:noProof/>
                <w:webHidden/>
              </w:rPr>
              <w:fldChar w:fldCharType="separate"/>
            </w:r>
            <w:r w:rsidR="008652E4">
              <w:rPr>
                <w:noProof/>
                <w:webHidden/>
              </w:rPr>
              <w:t>6</w:t>
            </w:r>
            <w:r w:rsidR="008652E4">
              <w:rPr>
                <w:noProof/>
                <w:webHidden/>
              </w:rPr>
              <w:fldChar w:fldCharType="end"/>
            </w:r>
          </w:hyperlink>
        </w:p>
        <w:p w:rsidR="00CC0ACA" w:rsidRPr="001D5C5F" w:rsidRDefault="00CC0ACA" w:rsidP="001D5C5F">
          <w:pPr>
            <w:pStyle w:val="TOC3"/>
            <w:tabs>
              <w:tab w:val="right" w:leader="dot" w:pos="9016"/>
            </w:tabs>
            <w:rPr>
              <w:rFonts w:asciiTheme="minorHAnsi" w:eastAsiaTheme="minorEastAsia" w:hAnsiTheme="minorHAnsi" w:cstheme="minorBidi"/>
              <w:noProof/>
              <w:szCs w:val="22"/>
              <w:lang w:eastAsia="en-AU"/>
            </w:rPr>
          </w:pPr>
          <w:r>
            <w:rPr>
              <w:b/>
              <w:bCs/>
              <w:noProof/>
            </w:rPr>
            <w:fldChar w:fldCharType="end"/>
          </w:r>
        </w:p>
      </w:sdtContent>
    </w:sdt>
    <w:p w:rsidR="00CC0ACA" w:rsidRDefault="00CC0ACA">
      <w:pPr>
        <w:spacing w:after="160" w:line="259" w:lineRule="auto"/>
        <w:rPr>
          <w:rFonts w:ascii="Arial" w:hAnsi="Arial" w:cs="Arial"/>
          <w:b/>
          <w:bCs/>
          <w:iCs/>
          <w:sz w:val="24"/>
          <w:szCs w:val="28"/>
        </w:rPr>
      </w:pPr>
    </w:p>
    <w:p w:rsidR="00CC0ACA" w:rsidRDefault="00CC0ACA">
      <w:pPr>
        <w:spacing w:after="160" w:line="259" w:lineRule="auto"/>
        <w:rPr>
          <w:rFonts w:ascii="Arial" w:hAnsi="Arial" w:cs="Arial"/>
          <w:b/>
          <w:bCs/>
          <w:iCs/>
          <w:sz w:val="24"/>
          <w:szCs w:val="28"/>
        </w:rPr>
      </w:pPr>
    </w:p>
    <w:p w:rsidR="00CC0ACA" w:rsidRDefault="001D5C5F">
      <w:pPr>
        <w:spacing w:after="160" w:line="259" w:lineRule="auto"/>
        <w:rPr>
          <w:rFonts w:ascii="Arial" w:hAnsi="Arial" w:cs="Arial"/>
          <w:b/>
          <w:bCs/>
          <w:iCs/>
          <w:sz w:val="24"/>
          <w:szCs w:val="28"/>
        </w:rPr>
      </w:pPr>
      <w:r>
        <w:rPr>
          <w:rFonts w:ascii="Arial" w:hAnsi="Arial" w:cs="Arial"/>
          <w:b/>
          <w:bCs/>
          <w:iCs/>
          <w:sz w:val="24"/>
          <w:szCs w:val="28"/>
        </w:rPr>
        <w:br w:type="page"/>
      </w:r>
    </w:p>
    <w:p w:rsidR="003E0E27" w:rsidRDefault="003E0E27" w:rsidP="003E0E27">
      <w:pPr>
        <w:pStyle w:val="Heading2"/>
        <w:jc w:val="center"/>
      </w:pPr>
      <w:bookmarkStart w:id="4" w:name="_Toc529635530"/>
      <w:proofErr w:type="spellStart"/>
      <w:r>
        <w:lastRenderedPageBreak/>
        <w:t>R</w:t>
      </w:r>
      <w:bookmarkStart w:id="5" w:name="_GoBack"/>
      <w:bookmarkEnd w:id="5"/>
      <w:r>
        <w:t>uleBase</w:t>
      </w:r>
      <w:proofErr w:type="spellEnd"/>
      <w:r>
        <w:t xml:space="preserve"> Logic – </w:t>
      </w:r>
      <w:bookmarkEnd w:id="3"/>
      <w:r>
        <w:t xml:space="preserve">Amount to be </w:t>
      </w:r>
      <w:proofErr w:type="gramStart"/>
      <w:r>
        <w:t>Paid</w:t>
      </w:r>
      <w:bookmarkEnd w:id="4"/>
      <w:proofErr w:type="gramEnd"/>
    </w:p>
    <w:p w:rsidR="00050933" w:rsidRDefault="00050933" w:rsidP="00050933"/>
    <w:p w:rsidR="00050933" w:rsidRPr="0072356C" w:rsidRDefault="0072356C" w:rsidP="00050933">
      <w:r w:rsidRPr="0072356C">
        <w:rPr>
          <w:i/>
        </w:rPr>
        <w:t xml:space="preserve">Taxation Administration Act </w:t>
      </w:r>
      <w:r>
        <w:rPr>
          <w:i/>
        </w:rPr>
        <w:t xml:space="preserve">1953 </w:t>
      </w:r>
      <w:r>
        <w:t>(</w:t>
      </w:r>
      <w:proofErr w:type="spellStart"/>
      <w:r>
        <w:t>Cth</w:t>
      </w:r>
      <w:proofErr w:type="spellEnd"/>
      <w:r>
        <w:t xml:space="preserve">) s 14-250(6); </w:t>
      </w:r>
    </w:p>
    <w:tbl>
      <w:tblPr>
        <w:tblStyle w:val="TableGrid"/>
        <w:tblW w:w="0" w:type="auto"/>
        <w:tblLook w:val="05E0" w:firstRow="1" w:lastRow="1" w:firstColumn="1" w:lastColumn="1" w:noHBand="0" w:noVBand="1"/>
      </w:tblPr>
      <w:tblGrid>
        <w:gridCol w:w="2254"/>
        <w:gridCol w:w="6762"/>
      </w:tblGrid>
      <w:tr w:rsidR="001C51C1" w:rsidTr="00422348">
        <w:tc>
          <w:tcPr>
            <w:tcW w:w="9016" w:type="dxa"/>
            <w:gridSpan w:val="2"/>
          </w:tcPr>
          <w:p w:rsidR="001C51C1" w:rsidRPr="00806677" w:rsidRDefault="00504F21" w:rsidP="00504F21">
            <w:pPr>
              <w:pStyle w:val="OPM-conclusion"/>
              <w:rPr>
                <w:lang w:val="en-AU" w:eastAsia="en-US"/>
              </w:rPr>
            </w:pPr>
            <w:bookmarkStart w:id="6" w:name="_Toc529635042"/>
            <w:bookmarkStart w:id="7" w:name="_Toc529635531"/>
            <w:r w:rsidRPr="00806677">
              <w:rPr>
                <w:color w:val="808080" w:themeColor="background1" w:themeShade="80"/>
                <w:sz w:val="14"/>
                <w:lang w:val="en-AU" w:eastAsia="en-US"/>
              </w:rPr>
              <w:t>[</w:t>
            </w:r>
            <w:r w:rsidRPr="00806677">
              <w:rPr>
                <w:color w:val="808080" w:themeColor="background1" w:themeShade="80"/>
                <w:sz w:val="14"/>
              </w:rPr>
              <w:t>Taxation Administration Act 1953 (</w:t>
            </w:r>
            <w:proofErr w:type="spellStart"/>
            <w:r w:rsidRPr="00806677">
              <w:rPr>
                <w:color w:val="808080" w:themeColor="background1" w:themeShade="80"/>
                <w:sz w:val="14"/>
              </w:rPr>
              <w:t>Cth</w:t>
            </w:r>
            <w:proofErr w:type="spellEnd"/>
            <w:r w:rsidRPr="00806677">
              <w:rPr>
                <w:color w:val="808080" w:themeColor="background1" w:themeShade="80"/>
                <w:sz w:val="14"/>
              </w:rPr>
              <w:t>) 14-250</w:t>
            </w:r>
            <w:r w:rsidRPr="00806677">
              <w:rPr>
                <w:color w:val="808080" w:themeColor="background1" w:themeShade="80"/>
                <w:sz w:val="14"/>
                <w:lang w:val="en-AU" w:eastAsia="en-US"/>
              </w:rPr>
              <w:t>]</w:t>
            </w:r>
            <w:r w:rsidRPr="00806677">
              <w:rPr>
                <w:lang w:val="en-AU" w:eastAsia="en-US"/>
              </w:rPr>
              <w:t xml:space="preserve"> </w:t>
            </w:r>
            <w:r w:rsidR="002C7CB1" w:rsidRPr="00806677">
              <w:rPr>
                <w:lang w:val="en-AU" w:eastAsia="en-US"/>
              </w:rPr>
              <w:t>the total withholding amount</w:t>
            </w:r>
            <w:bookmarkEnd w:id="6"/>
            <w:bookmarkEnd w:id="7"/>
          </w:p>
        </w:tc>
      </w:tr>
      <w:tr w:rsidR="001C51C1" w:rsidTr="001C51C1">
        <w:tc>
          <w:tcPr>
            <w:tcW w:w="2254" w:type="dxa"/>
          </w:tcPr>
          <w:p w:rsidR="001C51C1" w:rsidRPr="00806677" w:rsidRDefault="00C824D6" w:rsidP="001C51C1">
            <w:pPr>
              <w:pStyle w:val="OPM-conclusion"/>
              <w:rPr>
                <w:lang w:val="en-AU" w:eastAsia="en-US"/>
              </w:rPr>
            </w:pPr>
            <w:bookmarkStart w:id="8" w:name="_Toc529635043"/>
            <w:bookmarkStart w:id="9" w:name="_Toc529635532"/>
            <w:r w:rsidRPr="00806677">
              <w:rPr>
                <w:u w:val="single" w:color="666699"/>
                <w:lang w:val="en-AU" w:eastAsia="en-US"/>
              </w:rPr>
              <w:t>The contract price</w:t>
            </w:r>
            <w:r w:rsidR="001C51C1" w:rsidRPr="00806677">
              <w:rPr>
                <w:lang w:val="en-AU" w:eastAsia="en-US"/>
              </w:rPr>
              <w:t xml:space="preserve"> * 0.07</w:t>
            </w:r>
            <w:bookmarkEnd w:id="8"/>
            <w:bookmarkEnd w:id="9"/>
          </w:p>
        </w:tc>
        <w:tc>
          <w:tcPr>
            <w:tcW w:w="6762" w:type="dxa"/>
          </w:tcPr>
          <w:p w:rsidR="001C51C1" w:rsidRPr="00806677" w:rsidRDefault="00504F21" w:rsidP="00504F21">
            <w:pPr>
              <w:pStyle w:val="OPM-level1"/>
              <w:rPr>
                <w:lang w:val="en-AU" w:eastAsia="en-US"/>
              </w:rPr>
            </w:pPr>
            <w:r w:rsidRPr="00806677">
              <w:rPr>
                <w:color w:val="808080" w:themeColor="background1" w:themeShade="80"/>
                <w:sz w:val="14"/>
                <w:lang w:val="en-AU" w:eastAsia="en-US"/>
              </w:rPr>
              <w:t>[s 6]</w:t>
            </w:r>
            <w:r w:rsidRPr="00806677">
              <w:rPr>
                <w:lang w:val="en-AU" w:eastAsia="en-US"/>
              </w:rPr>
              <w:t xml:space="preserve"> </w:t>
            </w:r>
            <w:r w:rsidR="001C51C1" w:rsidRPr="00806677">
              <w:rPr>
                <w:lang w:val="en-AU" w:eastAsia="en-US"/>
              </w:rPr>
              <w:t>The margin scheme applies</w:t>
            </w:r>
          </w:p>
        </w:tc>
      </w:tr>
      <w:tr w:rsidR="001C51C1" w:rsidTr="001C51C1">
        <w:tc>
          <w:tcPr>
            <w:tcW w:w="2254" w:type="dxa"/>
          </w:tcPr>
          <w:p w:rsidR="001C51C1" w:rsidRPr="00806677" w:rsidRDefault="00C824D6" w:rsidP="001C51C1">
            <w:pPr>
              <w:pStyle w:val="OPM-conclusion"/>
              <w:rPr>
                <w:lang w:val="en-AU" w:eastAsia="en-US"/>
              </w:rPr>
            </w:pPr>
            <w:bookmarkStart w:id="10" w:name="_Toc529635044"/>
            <w:bookmarkStart w:id="11" w:name="_Toc529635533"/>
            <w:r w:rsidRPr="00806677">
              <w:rPr>
                <w:u w:val="single" w:color="666699"/>
                <w:lang w:val="en-AU" w:eastAsia="en-US"/>
              </w:rPr>
              <w:t>The contract price</w:t>
            </w:r>
            <w:r w:rsidR="001C51C1" w:rsidRPr="00806677">
              <w:rPr>
                <w:lang w:val="en-AU" w:eastAsia="en-US"/>
              </w:rPr>
              <w:t>* 0.1</w:t>
            </w:r>
            <w:bookmarkEnd w:id="10"/>
            <w:bookmarkEnd w:id="11"/>
          </w:p>
        </w:tc>
        <w:tc>
          <w:tcPr>
            <w:tcW w:w="6762" w:type="dxa"/>
          </w:tcPr>
          <w:p w:rsidR="001C51C1" w:rsidRPr="00806677" w:rsidRDefault="00BE0E4B" w:rsidP="00BE0E4B">
            <w:pPr>
              <w:pStyle w:val="OPM-level1"/>
              <w:rPr>
                <w:lang w:val="en-AU" w:eastAsia="en-US"/>
              </w:rPr>
            </w:pPr>
            <w:r w:rsidRPr="00806677">
              <w:rPr>
                <w:color w:val="808080" w:themeColor="background1" w:themeShade="80"/>
                <w:sz w:val="14"/>
                <w:lang w:val="en-AU" w:eastAsia="en-US"/>
              </w:rPr>
              <w:t>[s 9]</w:t>
            </w:r>
            <w:r w:rsidRPr="00806677">
              <w:rPr>
                <w:lang w:val="en-AU" w:eastAsia="en-US"/>
              </w:rPr>
              <w:t xml:space="preserve"> </w:t>
            </w:r>
            <w:r w:rsidR="001C51C1" w:rsidRPr="00806677">
              <w:rPr>
                <w:lang w:val="en-AU" w:eastAsia="en-US"/>
              </w:rPr>
              <w:t>The supply is between associates</w:t>
            </w:r>
          </w:p>
        </w:tc>
      </w:tr>
      <w:tr w:rsidR="00307FDD" w:rsidTr="001C51C1">
        <w:tc>
          <w:tcPr>
            <w:tcW w:w="2254" w:type="dxa"/>
          </w:tcPr>
          <w:p w:rsidR="00307FDD" w:rsidRPr="00806677" w:rsidRDefault="00C824D6" w:rsidP="001C51C1">
            <w:pPr>
              <w:pStyle w:val="OPM-conclusion"/>
              <w:rPr>
                <w:lang w:val="en-AU" w:eastAsia="en-US"/>
              </w:rPr>
            </w:pPr>
            <w:bookmarkStart w:id="12" w:name="_Toc529635045"/>
            <w:bookmarkStart w:id="13" w:name="_Toc529635534"/>
            <w:r w:rsidRPr="00806677">
              <w:rPr>
                <w:u w:val="single" w:color="666699"/>
                <w:lang w:val="en-AU" w:eastAsia="en-US"/>
              </w:rPr>
              <w:t>The contract price</w:t>
            </w:r>
            <w:r w:rsidR="00200817" w:rsidRPr="00806677">
              <w:rPr>
                <w:lang w:val="en-AU" w:eastAsia="en-US"/>
              </w:rPr>
              <w:t xml:space="preserve"> * 0.091 / </w:t>
            </w:r>
            <w:r w:rsidR="00897092" w:rsidRPr="00806677">
              <w:rPr>
                <w:u w:val="single" w:color="666699"/>
                <w:lang w:val="en-AU" w:eastAsia="en-US"/>
              </w:rPr>
              <w:t>the purchaser's percentage of ownership</w:t>
            </w:r>
            <w:bookmarkEnd w:id="12"/>
            <w:bookmarkEnd w:id="13"/>
          </w:p>
        </w:tc>
        <w:tc>
          <w:tcPr>
            <w:tcW w:w="6762" w:type="dxa"/>
          </w:tcPr>
          <w:p w:rsidR="00307FDD" w:rsidRPr="00806677" w:rsidRDefault="00B419B4" w:rsidP="00B419B4">
            <w:pPr>
              <w:pStyle w:val="OPM-level1"/>
              <w:rPr>
                <w:lang w:val="en-AU" w:eastAsia="en-US"/>
              </w:rPr>
            </w:pPr>
            <w:r w:rsidRPr="00806677">
              <w:rPr>
                <w:color w:val="808080" w:themeColor="background1" w:themeShade="80"/>
                <w:sz w:val="14"/>
                <w:lang w:val="en-AU" w:eastAsia="en-US"/>
              </w:rPr>
              <w:t>[Law Companion Ruling LCR 2018/04 para 44]</w:t>
            </w:r>
            <w:r w:rsidRPr="00806677">
              <w:rPr>
                <w:lang w:val="en-AU" w:eastAsia="en-US"/>
              </w:rPr>
              <w:t xml:space="preserve"> </w:t>
            </w:r>
            <w:r w:rsidR="00307FDD" w:rsidRPr="00806677">
              <w:rPr>
                <w:lang w:val="en-AU" w:eastAsia="en-US"/>
              </w:rPr>
              <w:t>The supply is only partly a supply of new residential premises or potential residential land</w:t>
            </w:r>
          </w:p>
        </w:tc>
      </w:tr>
      <w:tr w:rsidR="00307FDD" w:rsidTr="001C51C1">
        <w:tc>
          <w:tcPr>
            <w:tcW w:w="2254" w:type="dxa"/>
          </w:tcPr>
          <w:p w:rsidR="00307FDD" w:rsidRPr="00806677" w:rsidRDefault="00C824D6" w:rsidP="001C51C1">
            <w:pPr>
              <w:pStyle w:val="OPM-conclusion"/>
              <w:rPr>
                <w:lang w:val="en-AU" w:eastAsia="en-US"/>
              </w:rPr>
            </w:pPr>
            <w:bookmarkStart w:id="14" w:name="_Toc529635046"/>
            <w:bookmarkStart w:id="15" w:name="_Toc529635535"/>
            <w:r w:rsidRPr="00806677">
              <w:rPr>
                <w:u w:val="single" w:color="666699"/>
                <w:lang w:val="en-AU" w:eastAsia="en-US"/>
              </w:rPr>
              <w:t>The contract price</w:t>
            </w:r>
            <w:r w:rsidR="00200817" w:rsidRPr="00806677">
              <w:rPr>
                <w:lang w:val="en-AU" w:eastAsia="en-US"/>
              </w:rPr>
              <w:t xml:space="preserve"> * 0.091 / </w:t>
            </w:r>
            <w:r w:rsidR="00897092" w:rsidRPr="00806677">
              <w:rPr>
                <w:u w:val="single" w:color="666699"/>
                <w:lang w:val="en-AU" w:eastAsia="en-US"/>
              </w:rPr>
              <w:t>the purchaser's percentage of ownership</w:t>
            </w:r>
            <w:bookmarkEnd w:id="14"/>
            <w:bookmarkEnd w:id="15"/>
          </w:p>
        </w:tc>
        <w:tc>
          <w:tcPr>
            <w:tcW w:w="6762" w:type="dxa"/>
          </w:tcPr>
          <w:p w:rsidR="00307FDD" w:rsidRPr="00806677" w:rsidRDefault="00E259AA" w:rsidP="00E259AA">
            <w:pPr>
              <w:pStyle w:val="OPM-level1"/>
              <w:rPr>
                <w:lang w:val="en-AU" w:eastAsia="en-US"/>
              </w:rPr>
            </w:pPr>
            <w:r w:rsidRPr="00806677">
              <w:rPr>
                <w:color w:val="808080" w:themeColor="background1" w:themeShade="80"/>
                <w:sz w:val="14"/>
                <w:lang w:val="en-AU" w:eastAsia="en-US"/>
              </w:rPr>
              <w:t>[s 11]</w:t>
            </w:r>
            <w:r w:rsidRPr="00806677">
              <w:rPr>
                <w:lang w:val="en-AU" w:eastAsia="en-US"/>
              </w:rPr>
              <w:t xml:space="preserve"> </w:t>
            </w:r>
            <w:r w:rsidR="00307FDD" w:rsidRPr="00806677">
              <w:rPr>
                <w:lang w:val="en-AU" w:eastAsia="en-US"/>
              </w:rPr>
              <w:t>There are multiple recipients</w:t>
            </w:r>
          </w:p>
        </w:tc>
      </w:tr>
      <w:tr w:rsidR="001C51C1" w:rsidTr="001C51C1">
        <w:tc>
          <w:tcPr>
            <w:tcW w:w="2254" w:type="dxa"/>
          </w:tcPr>
          <w:p w:rsidR="001C51C1" w:rsidRPr="00806677" w:rsidRDefault="00C824D6" w:rsidP="001C51C1">
            <w:pPr>
              <w:pStyle w:val="OPM-conclusion"/>
              <w:rPr>
                <w:lang w:val="en-AU" w:eastAsia="en-US"/>
              </w:rPr>
            </w:pPr>
            <w:bookmarkStart w:id="16" w:name="_Toc529635047"/>
            <w:bookmarkStart w:id="17" w:name="_Toc529635536"/>
            <w:r w:rsidRPr="00806677">
              <w:rPr>
                <w:u w:val="single" w:color="666699"/>
                <w:lang w:val="en-AU" w:eastAsia="en-US"/>
              </w:rPr>
              <w:t>The contract price</w:t>
            </w:r>
            <w:r w:rsidR="001C51C1" w:rsidRPr="00806677">
              <w:rPr>
                <w:lang w:val="en-AU" w:eastAsia="en-US"/>
              </w:rPr>
              <w:t xml:space="preserve"> * 0.09</w:t>
            </w:r>
            <w:r w:rsidR="00200817" w:rsidRPr="00806677">
              <w:rPr>
                <w:lang w:val="en-AU" w:eastAsia="en-US"/>
              </w:rPr>
              <w:t>1</w:t>
            </w:r>
            <w:bookmarkEnd w:id="16"/>
            <w:bookmarkEnd w:id="17"/>
          </w:p>
        </w:tc>
        <w:tc>
          <w:tcPr>
            <w:tcW w:w="6762" w:type="dxa"/>
          </w:tcPr>
          <w:p w:rsidR="001C51C1" w:rsidRDefault="001C51C1" w:rsidP="001C51C1">
            <w:pPr>
              <w:pStyle w:val="OPM-Alternativeconclusion"/>
            </w:pPr>
            <w:bookmarkStart w:id="18" w:name="_Toc529635048"/>
            <w:bookmarkStart w:id="19" w:name="_Toc529635537"/>
            <w:r>
              <w:t>otherwise</w:t>
            </w:r>
            <w:bookmarkEnd w:id="18"/>
            <w:bookmarkEnd w:id="19"/>
          </w:p>
        </w:tc>
      </w:tr>
    </w:tbl>
    <w:p w:rsidR="003E0E27" w:rsidRPr="003E0E27" w:rsidRDefault="003E0E27" w:rsidP="003E0E27"/>
    <w:p w:rsidR="000D63BF" w:rsidRDefault="004F08DB" w:rsidP="004F08DB">
      <w:pPr>
        <w:pStyle w:val="Heading3"/>
        <w:jc w:val="center"/>
        <w:rPr>
          <w:i/>
        </w:rPr>
      </w:pPr>
      <w:bookmarkStart w:id="20" w:name="_Toc529635538"/>
      <w:r>
        <w:rPr>
          <w:i/>
        </w:rPr>
        <w:t>Payment Type</w:t>
      </w:r>
      <w:bookmarkEnd w:id="20"/>
      <w:r>
        <w:rPr>
          <w:i/>
        </w:rPr>
        <w:t xml:space="preserve"> </w:t>
      </w:r>
    </w:p>
    <w:p w:rsidR="00A112CC" w:rsidRDefault="00A112CC" w:rsidP="00A112CC"/>
    <w:p w:rsidR="00A112CC" w:rsidRDefault="00A112CC" w:rsidP="00A112CC">
      <w:r>
        <w:t xml:space="preserve">Comment – Reasons rules are so long is rule table is structured waterfall, requiring top conditions to be false to flow to through to the next. Uncertain state is not sufficient. </w:t>
      </w:r>
    </w:p>
    <w:p w:rsidR="009A3ED2" w:rsidRPr="00A112CC" w:rsidRDefault="009A3ED2" w:rsidP="00A112CC"/>
    <w:p w:rsidR="009A3ED2" w:rsidRDefault="009A3ED2" w:rsidP="009A3ED2">
      <w:pPr>
        <w:pStyle w:val="Heading3"/>
        <w:jc w:val="center"/>
        <w:rPr>
          <w:i/>
        </w:rPr>
      </w:pPr>
      <w:bookmarkStart w:id="21" w:name="_Toc529635539"/>
      <w:r>
        <w:rPr>
          <w:i/>
        </w:rPr>
        <w:t>Margin Scheme</w:t>
      </w:r>
      <w:bookmarkEnd w:id="21"/>
      <w:r>
        <w:rPr>
          <w:i/>
        </w:rPr>
        <w:t xml:space="preserve"> </w:t>
      </w:r>
    </w:p>
    <w:p w:rsidR="00901559" w:rsidRDefault="00901559"/>
    <w:p w:rsidR="009A3ED2" w:rsidRDefault="009A3ED2"/>
    <w:p w:rsidR="002E79D4" w:rsidRPr="00806677" w:rsidRDefault="000D09E4" w:rsidP="00395A44">
      <w:pPr>
        <w:pStyle w:val="OPM-conclusion"/>
      </w:pPr>
      <w:bookmarkStart w:id="22" w:name="_Toc529635051"/>
      <w:bookmarkStart w:id="23" w:name="_Toc529635540"/>
      <w:r w:rsidRPr="00806677">
        <w:t xml:space="preserve">The margin scheme applies </w:t>
      </w:r>
      <w:r w:rsidR="00395A44" w:rsidRPr="00806677">
        <w:t>if</w:t>
      </w:r>
      <w:bookmarkEnd w:id="22"/>
      <w:bookmarkEnd w:id="23"/>
    </w:p>
    <w:p w:rsidR="005E3983" w:rsidRPr="00806677" w:rsidRDefault="00395A44" w:rsidP="005E3983">
      <w:pPr>
        <w:pStyle w:val="OPM-level1"/>
      </w:pPr>
      <w:r w:rsidRPr="00806677">
        <w:rPr>
          <w:u w:val="single" w:color="666699"/>
        </w:rPr>
        <w:t>Payment type</w:t>
      </w:r>
      <w:r w:rsidRPr="00806677">
        <w:t xml:space="preserve"> = "</w:t>
      </w:r>
      <w:r w:rsidR="005E3983" w:rsidRPr="00806677">
        <w:t>Margin Scheme” and</w:t>
      </w:r>
    </w:p>
    <w:p w:rsidR="00395A44" w:rsidRPr="00806677" w:rsidRDefault="00CC4E49" w:rsidP="005E3983">
      <w:pPr>
        <w:pStyle w:val="OPM-level1"/>
      </w:pPr>
      <w:r w:rsidRPr="00806677">
        <w:rPr>
          <w:color w:val="808080" w:themeColor="background1" w:themeShade="80"/>
          <w:sz w:val="14"/>
        </w:rPr>
        <w:t>[A New Tax System (Goods and Services Tax) Act 1999 s 75.5]</w:t>
      </w:r>
      <w:r w:rsidRPr="00806677">
        <w:t xml:space="preserve"> </w:t>
      </w:r>
      <w:r w:rsidR="005E3983" w:rsidRPr="00806677">
        <w:t>The margin scheme criteria applies</w:t>
      </w:r>
    </w:p>
    <w:p w:rsidR="00395A44" w:rsidRDefault="00395A44"/>
    <w:p w:rsidR="009A3ED2" w:rsidRPr="00806677" w:rsidRDefault="009A3ED2" w:rsidP="009A3ED2">
      <w:pPr>
        <w:pStyle w:val="OPM-conclusion"/>
      </w:pPr>
      <w:bookmarkStart w:id="24" w:name="_Toc529635052"/>
      <w:bookmarkStart w:id="25" w:name="_Toc529635541"/>
      <w:r w:rsidRPr="00806677">
        <w:t>The margin scheme criteria applies if</w:t>
      </w:r>
      <w:bookmarkEnd w:id="24"/>
      <w:bookmarkEnd w:id="25"/>
    </w:p>
    <w:p w:rsidR="009A3ED2" w:rsidRPr="00806677" w:rsidRDefault="00DE2400" w:rsidP="009A3ED2">
      <w:pPr>
        <w:pStyle w:val="OPM-level1"/>
      </w:pPr>
      <w:r w:rsidRPr="00806677">
        <w:rPr>
          <w:color w:val="808080" w:themeColor="background1" w:themeShade="80"/>
          <w:sz w:val="14"/>
        </w:rPr>
        <w:t>[(1)]</w:t>
      </w:r>
      <w:r w:rsidRPr="00806677">
        <w:t xml:space="preserve"> </w:t>
      </w:r>
      <w:proofErr w:type="gramStart"/>
      <w:r w:rsidR="009A3ED2" w:rsidRPr="00806677">
        <w:t>The</w:t>
      </w:r>
      <w:proofErr w:type="gramEnd"/>
      <w:r w:rsidR="009A3ED2" w:rsidRPr="00806677">
        <w:t xml:space="preserve"> supplier and purchaser have agreed in writing that the margin scheme is to apply before making the supply </w:t>
      </w:r>
      <w:r w:rsidR="00CC4E49" w:rsidRPr="00806677">
        <w:t>and</w:t>
      </w:r>
    </w:p>
    <w:p w:rsidR="00CC4E49" w:rsidRPr="00806677" w:rsidRDefault="00DE2400" w:rsidP="009A3ED2">
      <w:pPr>
        <w:pStyle w:val="OPM-level1"/>
      </w:pPr>
      <w:r w:rsidRPr="00806677">
        <w:rPr>
          <w:color w:val="808080" w:themeColor="background1" w:themeShade="80"/>
          <w:sz w:val="14"/>
        </w:rPr>
        <w:t>[(1A)]</w:t>
      </w:r>
      <w:r w:rsidRPr="00806677">
        <w:t xml:space="preserve"> </w:t>
      </w:r>
      <w:proofErr w:type="gramStart"/>
      <w:r w:rsidR="00CC4E49" w:rsidRPr="00806677">
        <w:t>The</w:t>
      </w:r>
      <w:proofErr w:type="gramEnd"/>
      <w:r w:rsidR="00CC4E49" w:rsidRPr="00806677">
        <w:t xml:space="preserve"> agreement must </w:t>
      </w:r>
      <w:r w:rsidRPr="00806677">
        <w:t xml:space="preserve">have </w:t>
      </w:r>
      <w:r w:rsidR="00CC4E49" w:rsidRPr="00806677">
        <w:t>be made on or before the making of the supply.</w:t>
      </w:r>
    </w:p>
    <w:p w:rsidR="009A3ED2" w:rsidRDefault="009A3ED2"/>
    <w:p w:rsidR="009A3ED2" w:rsidRDefault="009A3ED2" w:rsidP="009A3ED2">
      <w:pPr>
        <w:pStyle w:val="Heading3"/>
        <w:jc w:val="center"/>
        <w:rPr>
          <w:i/>
        </w:rPr>
      </w:pPr>
      <w:bookmarkStart w:id="26" w:name="_Toc529635542"/>
      <w:r>
        <w:rPr>
          <w:i/>
        </w:rPr>
        <w:t>Supply between associates</w:t>
      </w:r>
      <w:bookmarkEnd w:id="26"/>
    </w:p>
    <w:p w:rsidR="009A3ED2" w:rsidRDefault="009A3ED2"/>
    <w:p w:rsidR="009A3ED2" w:rsidRDefault="009A3ED2"/>
    <w:p w:rsidR="005E3983" w:rsidRPr="00806677" w:rsidRDefault="00745538" w:rsidP="00745538">
      <w:pPr>
        <w:pStyle w:val="OPM-conclusion"/>
      </w:pPr>
      <w:bookmarkStart w:id="27" w:name="_Toc529635054"/>
      <w:bookmarkStart w:id="28" w:name="_Toc529635543"/>
      <w:r w:rsidRPr="00806677">
        <w:t>The supply i</w:t>
      </w:r>
      <w:r w:rsidR="000D09E4" w:rsidRPr="00806677">
        <w:t xml:space="preserve">s between associates </w:t>
      </w:r>
      <w:r w:rsidRPr="00806677">
        <w:t>if</w:t>
      </w:r>
      <w:bookmarkEnd w:id="27"/>
      <w:bookmarkEnd w:id="28"/>
    </w:p>
    <w:p w:rsidR="00745538" w:rsidRPr="00806677" w:rsidRDefault="00745538" w:rsidP="00745538">
      <w:pPr>
        <w:pStyle w:val="OPM-level1"/>
      </w:pPr>
      <w:r w:rsidRPr="00806677">
        <w:rPr>
          <w:u w:val="single" w:color="666699"/>
        </w:rPr>
        <w:t>Payment Type</w:t>
      </w:r>
      <w:r w:rsidRPr="00806677">
        <w:t xml:space="preserve"> = "Between associates" and</w:t>
      </w:r>
    </w:p>
    <w:p w:rsidR="00745538" w:rsidRPr="00806677" w:rsidRDefault="00BE0E4B" w:rsidP="00745538">
      <w:pPr>
        <w:pStyle w:val="OPM-level1"/>
      </w:pPr>
      <w:r w:rsidRPr="00806677">
        <w:rPr>
          <w:color w:val="808080" w:themeColor="background1" w:themeShade="80"/>
          <w:sz w:val="14"/>
        </w:rPr>
        <w:t>[A New Tax System (Goods and Services Tax) Act 1999 Division 72]</w:t>
      </w:r>
      <w:r w:rsidRPr="00806677">
        <w:t xml:space="preserve"> The purchaser is an associate</w:t>
      </w:r>
    </w:p>
    <w:p w:rsidR="00745538" w:rsidRDefault="00745538"/>
    <w:p w:rsidR="009A3ED2" w:rsidRPr="00806677" w:rsidRDefault="00BE0E4B" w:rsidP="009A3ED2">
      <w:pPr>
        <w:pStyle w:val="OPM-conclusion"/>
      </w:pPr>
      <w:bookmarkStart w:id="29" w:name="_Toc529635055"/>
      <w:bookmarkStart w:id="30" w:name="_Toc529635544"/>
      <w:r w:rsidRPr="00806677">
        <w:rPr>
          <w:color w:val="808080" w:themeColor="background1" w:themeShade="80"/>
          <w:sz w:val="14"/>
        </w:rPr>
        <w:lastRenderedPageBreak/>
        <w:t>[Income Tax Assessment Act 1936 (</w:t>
      </w:r>
      <w:proofErr w:type="spellStart"/>
      <w:r w:rsidRPr="00806677">
        <w:rPr>
          <w:color w:val="808080" w:themeColor="background1" w:themeShade="80"/>
          <w:sz w:val="14"/>
        </w:rPr>
        <w:t>Cth</w:t>
      </w:r>
      <w:proofErr w:type="spellEnd"/>
      <w:r w:rsidRPr="00806677">
        <w:rPr>
          <w:color w:val="808080" w:themeColor="background1" w:themeShade="80"/>
          <w:sz w:val="14"/>
        </w:rPr>
        <w:t>) s 318]</w:t>
      </w:r>
      <w:r w:rsidRPr="00806677">
        <w:t xml:space="preserve"> The purchaser is an associate </w:t>
      </w:r>
      <w:r w:rsidR="009A3ED2" w:rsidRPr="00806677">
        <w:t>if</w:t>
      </w:r>
      <w:bookmarkEnd w:id="29"/>
      <w:bookmarkEnd w:id="30"/>
    </w:p>
    <w:p w:rsidR="009A3ED2" w:rsidRPr="00806677" w:rsidRDefault="00BE0E4B" w:rsidP="009A3ED2">
      <w:pPr>
        <w:pStyle w:val="OPM-level1"/>
      </w:pPr>
      <w:r w:rsidRPr="00806677">
        <w:rPr>
          <w:color w:val="808080" w:themeColor="background1" w:themeShade="80"/>
          <w:sz w:val="14"/>
        </w:rPr>
        <w:t>[(1</w:t>
      </w:r>
      <w:proofErr w:type="gramStart"/>
      <w:r w:rsidRPr="00806677">
        <w:rPr>
          <w:color w:val="808080" w:themeColor="background1" w:themeShade="80"/>
          <w:sz w:val="14"/>
        </w:rPr>
        <w:t>)(</w:t>
      </w:r>
      <w:proofErr w:type="gramEnd"/>
      <w:r w:rsidRPr="00806677">
        <w:rPr>
          <w:color w:val="808080" w:themeColor="background1" w:themeShade="80"/>
          <w:sz w:val="14"/>
        </w:rPr>
        <w:t>a)]</w:t>
      </w:r>
      <w:r w:rsidRPr="00806677">
        <w:t xml:space="preserve"> The purchaser is a relative if the primary entity or</w:t>
      </w:r>
    </w:p>
    <w:p w:rsidR="00BE0E4B" w:rsidRPr="00806677" w:rsidRDefault="00BE0E4B" w:rsidP="009A3ED2">
      <w:pPr>
        <w:pStyle w:val="OPM-level1"/>
      </w:pPr>
      <w:r w:rsidRPr="00806677">
        <w:rPr>
          <w:color w:val="808080" w:themeColor="background1" w:themeShade="80"/>
          <w:sz w:val="14"/>
        </w:rPr>
        <w:t>[(1</w:t>
      </w:r>
      <w:proofErr w:type="gramStart"/>
      <w:r w:rsidRPr="00806677">
        <w:rPr>
          <w:color w:val="808080" w:themeColor="background1" w:themeShade="80"/>
          <w:sz w:val="14"/>
        </w:rPr>
        <w:t>)(</w:t>
      </w:r>
      <w:proofErr w:type="gramEnd"/>
      <w:r w:rsidRPr="00806677">
        <w:rPr>
          <w:color w:val="808080" w:themeColor="background1" w:themeShade="80"/>
          <w:sz w:val="14"/>
        </w:rPr>
        <w:t>b)]</w:t>
      </w:r>
      <w:r w:rsidRPr="00806677">
        <w:t xml:space="preserve"> A partner of the primary entity or a partnership in which the primary entity is a partner or</w:t>
      </w:r>
    </w:p>
    <w:p w:rsidR="00BE0E4B" w:rsidRPr="00806677" w:rsidRDefault="00BE0E4B" w:rsidP="009A3ED2">
      <w:pPr>
        <w:pStyle w:val="OPM-level1"/>
      </w:pPr>
      <w:r w:rsidRPr="00806677">
        <w:rPr>
          <w:color w:val="808080" w:themeColor="background1" w:themeShade="80"/>
          <w:sz w:val="14"/>
        </w:rPr>
        <w:t>[(1</w:t>
      </w:r>
      <w:proofErr w:type="gramStart"/>
      <w:r w:rsidRPr="00806677">
        <w:rPr>
          <w:color w:val="808080" w:themeColor="background1" w:themeShade="80"/>
          <w:sz w:val="14"/>
        </w:rPr>
        <w:t>)(</w:t>
      </w:r>
      <w:proofErr w:type="gramEnd"/>
      <w:r w:rsidRPr="00806677">
        <w:rPr>
          <w:color w:val="808080" w:themeColor="background1" w:themeShade="80"/>
          <w:sz w:val="14"/>
        </w:rPr>
        <w:t>c)]</w:t>
      </w:r>
      <w:r w:rsidRPr="00806677">
        <w:t xml:space="preserve"> </w:t>
      </w:r>
      <w:r w:rsidRPr="00806677">
        <w:rPr>
          <w:u w:color="666699"/>
        </w:rPr>
        <w:t>If a partner of the primary entity is a natural person otherwise than in the capacity of a trustee</w:t>
      </w:r>
      <w:r w:rsidR="00704E0F" w:rsidRPr="00806677">
        <w:t xml:space="preserve">, </w:t>
      </w:r>
      <w:r w:rsidRPr="00806677">
        <w:rPr>
          <w:u w:color="666699"/>
        </w:rPr>
        <w:t>the spouse of a child of that partner</w:t>
      </w:r>
      <w:r w:rsidRPr="00806677">
        <w:t xml:space="preserve"> or</w:t>
      </w:r>
    </w:p>
    <w:p w:rsidR="00BE0E4B" w:rsidRPr="00806677" w:rsidRDefault="00BE0E4B" w:rsidP="009A3ED2">
      <w:pPr>
        <w:pStyle w:val="OPM-level1"/>
      </w:pPr>
      <w:r w:rsidRPr="00806677">
        <w:rPr>
          <w:color w:val="808080" w:themeColor="background1" w:themeShade="80"/>
          <w:sz w:val="14"/>
        </w:rPr>
        <w:t>[(1</w:t>
      </w:r>
      <w:proofErr w:type="gramStart"/>
      <w:r w:rsidRPr="00806677">
        <w:rPr>
          <w:color w:val="808080" w:themeColor="background1" w:themeShade="80"/>
          <w:sz w:val="14"/>
        </w:rPr>
        <w:t>)(</w:t>
      </w:r>
      <w:proofErr w:type="gramEnd"/>
      <w:r w:rsidRPr="00806677">
        <w:rPr>
          <w:color w:val="808080" w:themeColor="background1" w:themeShade="80"/>
          <w:sz w:val="14"/>
        </w:rPr>
        <w:t>d)]</w:t>
      </w:r>
      <w:r w:rsidRPr="00806677">
        <w:t xml:space="preserve"> A trustee of a trust where the primary entity, or another entity that is an associate of the primary entity because of another paragraph of this subsection, benefits under the trust;</w:t>
      </w:r>
    </w:p>
    <w:p w:rsidR="002E79D4" w:rsidRDefault="002E79D4" w:rsidP="00395A44"/>
    <w:p w:rsidR="009A3ED2" w:rsidRDefault="009A3ED2" w:rsidP="00395A44"/>
    <w:p w:rsidR="004934BF" w:rsidRDefault="004934BF" w:rsidP="004934BF">
      <w:pPr>
        <w:pStyle w:val="Heading3"/>
        <w:jc w:val="center"/>
        <w:rPr>
          <w:i/>
        </w:rPr>
      </w:pPr>
      <w:bookmarkStart w:id="31" w:name="_Toc529635545"/>
      <w:r>
        <w:rPr>
          <w:i/>
        </w:rPr>
        <w:t>Part Supply</w:t>
      </w:r>
      <w:bookmarkEnd w:id="31"/>
    </w:p>
    <w:p w:rsidR="004934BF" w:rsidRDefault="004934BF" w:rsidP="00395A44"/>
    <w:p w:rsidR="009A3ED2" w:rsidRPr="00806677" w:rsidRDefault="009A3ED2" w:rsidP="009A3ED2">
      <w:pPr>
        <w:pStyle w:val="OPM-conclusion"/>
      </w:pPr>
      <w:bookmarkStart w:id="32" w:name="_Toc529635057"/>
      <w:bookmarkStart w:id="33" w:name="_Toc529635546"/>
      <w:proofErr w:type="gramStart"/>
      <w:r w:rsidRPr="00806677">
        <w:t>the</w:t>
      </w:r>
      <w:proofErr w:type="gramEnd"/>
      <w:r w:rsidRPr="00806677">
        <w:t xml:space="preserve"> supply is only partly a supply of new residential premises or potential residential land if</w:t>
      </w:r>
      <w:bookmarkEnd w:id="32"/>
      <w:bookmarkEnd w:id="33"/>
    </w:p>
    <w:p w:rsidR="009A3ED2" w:rsidRPr="00806677" w:rsidRDefault="009A3ED2" w:rsidP="009A3ED2">
      <w:pPr>
        <w:pStyle w:val="OPM-level1"/>
      </w:pPr>
      <w:proofErr w:type="gramStart"/>
      <w:r w:rsidRPr="00806677">
        <w:rPr>
          <w:u w:val="single" w:color="666699"/>
        </w:rPr>
        <w:t>payment</w:t>
      </w:r>
      <w:proofErr w:type="gramEnd"/>
      <w:r w:rsidRPr="00806677">
        <w:rPr>
          <w:u w:val="single" w:color="666699"/>
        </w:rPr>
        <w:t xml:space="preserve"> Type</w:t>
      </w:r>
      <w:r w:rsidRPr="00806677">
        <w:t xml:space="preserve"> = "Partly a supply of residential premises”</w:t>
      </w:r>
      <w:r w:rsidR="005F7E4E" w:rsidRPr="00806677">
        <w:t xml:space="preserve"> and</w:t>
      </w:r>
    </w:p>
    <w:p w:rsidR="005F7E4E" w:rsidRPr="00806677" w:rsidRDefault="004634B9" w:rsidP="004634B9">
      <w:pPr>
        <w:pStyle w:val="OPM-level1"/>
      </w:pPr>
      <w:proofErr w:type="gramStart"/>
      <w:r w:rsidRPr="00806677">
        <w:t>the</w:t>
      </w:r>
      <w:proofErr w:type="gramEnd"/>
      <w:r w:rsidRPr="00806677">
        <w:t xml:space="preserve"> supply is only partly a supply of new residential premises or pote</w:t>
      </w:r>
      <w:r w:rsidR="004B598A" w:rsidRPr="00806677">
        <w:t>ntial residential land criteria</w:t>
      </w:r>
      <w:r w:rsidR="00363EE2" w:rsidRPr="00806677">
        <w:t xml:space="preserve"> applies</w:t>
      </w:r>
    </w:p>
    <w:p w:rsidR="009A3ED2" w:rsidRDefault="009A3ED2" w:rsidP="00395A44"/>
    <w:p w:rsidR="00F56DA6" w:rsidRPr="00806677" w:rsidRDefault="00776C54" w:rsidP="00F56DA6">
      <w:pPr>
        <w:pStyle w:val="OPM-conclusion"/>
      </w:pPr>
      <w:bookmarkStart w:id="34" w:name="_Toc529635058"/>
      <w:bookmarkStart w:id="35" w:name="_Toc529635547"/>
      <w:r w:rsidRPr="00806677">
        <w:rPr>
          <w:color w:val="808080" w:themeColor="background1" w:themeShade="80"/>
          <w:sz w:val="14"/>
        </w:rPr>
        <w:t>[Law Companion Ruling LCR 2018/04 para 44]</w:t>
      </w:r>
      <w:r w:rsidRPr="00806677">
        <w:t xml:space="preserve"> </w:t>
      </w:r>
      <w:r w:rsidR="00F56DA6" w:rsidRPr="00806677">
        <w:t>the supply is only partly a supply of new residential premises or potential residential land criteria applies if</w:t>
      </w:r>
      <w:bookmarkEnd w:id="34"/>
      <w:bookmarkEnd w:id="35"/>
    </w:p>
    <w:p w:rsidR="00F56DA6" w:rsidRPr="00806677" w:rsidRDefault="00776C54" w:rsidP="00F56DA6">
      <w:pPr>
        <w:pStyle w:val="OPM-level1"/>
      </w:pPr>
      <w:r w:rsidRPr="00806677">
        <w:rPr>
          <w:color w:val="808080" w:themeColor="background1" w:themeShade="80"/>
          <w:sz w:val="14"/>
        </w:rPr>
        <w:t>[(</w:t>
      </w:r>
      <w:proofErr w:type="gramStart"/>
      <w:r w:rsidRPr="00806677">
        <w:rPr>
          <w:color w:val="808080" w:themeColor="background1" w:themeShade="80"/>
          <w:sz w:val="14"/>
        </w:rPr>
        <w:t>a</w:t>
      </w:r>
      <w:proofErr w:type="gramEnd"/>
      <w:r w:rsidRPr="00806677">
        <w:rPr>
          <w:color w:val="808080" w:themeColor="background1" w:themeShade="80"/>
          <w:sz w:val="14"/>
        </w:rPr>
        <w:t>)]</w:t>
      </w:r>
      <w:r w:rsidRPr="00806677">
        <w:t xml:space="preserve"> </w:t>
      </w:r>
      <w:r w:rsidR="00B419B4" w:rsidRPr="00806677">
        <w:t>The percentage of supply/ownership taken, was less than 100% and</w:t>
      </w:r>
    </w:p>
    <w:p w:rsidR="00B419B4" w:rsidRPr="00806677" w:rsidRDefault="00776C54" w:rsidP="00F56DA6">
      <w:pPr>
        <w:pStyle w:val="OPM-level1"/>
      </w:pPr>
      <w:r w:rsidRPr="00806677">
        <w:rPr>
          <w:color w:val="808080" w:themeColor="background1" w:themeShade="80"/>
          <w:sz w:val="14"/>
        </w:rPr>
        <w:t>[(b)]</w:t>
      </w:r>
      <w:r w:rsidRPr="00806677">
        <w:t xml:space="preserve"> </w:t>
      </w:r>
      <w:proofErr w:type="gramStart"/>
      <w:r w:rsidR="00B419B4" w:rsidRPr="00806677">
        <w:t>It</w:t>
      </w:r>
      <w:proofErr w:type="gramEnd"/>
      <w:r w:rsidR="00B419B4" w:rsidRPr="00806677">
        <w:t xml:space="preserve"> is practical to ascertain the portion of consideration that relates to the supply.</w:t>
      </w:r>
    </w:p>
    <w:p w:rsidR="009A3ED2" w:rsidRDefault="009A3ED2" w:rsidP="00395A44"/>
    <w:p w:rsidR="00F5666A" w:rsidRDefault="00F5666A" w:rsidP="00F5666A">
      <w:pPr>
        <w:pStyle w:val="Heading3"/>
        <w:jc w:val="center"/>
        <w:rPr>
          <w:i/>
        </w:rPr>
      </w:pPr>
      <w:bookmarkStart w:id="36" w:name="_Toc529635548"/>
      <w:r>
        <w:rPr>
          <w:i/>
        </w:rPr>
        <w:t>Multiple Associates</w:t>
      </w:r>
      <w:bookmarkEnd w:id="36"/>
    </w:p>
    <w:p w:rsidR="00F5666A" w:rsidRPr="00806677" w:rsidRDefault="00F5666A" w:rsidP="00F5666A">
      <w:pPr>
        <w:pStyle w:val="OPM-conclusion"/>
      </w:pPr>
      <w:bookmarkStart w:id="37" w:name="_Toc529635060"/>
      <w:bookmarkStart w:id="38" w:name="_Toc529635549"/>
      <w:proofErr w:type="gramStart"/>
      <w:r w:rsidRPr="00806677">
        <w:t>there</w:t>
      </w:r>
      <w:proofErr w:type="gramEnd"/>
      <w:r w:rsidRPr="00806677">
        <w:t xml:space="preserve"> are multiple recipients if</w:t>
      </w:r>
      <w:bookmarkEnd w:id="37"/>
      <w:bookmarkEnd w:id="38"/>
    </w:p>
    <w:p w:rsidR="00F5666A" w:rsidRPr="00806677" w:rsidRDefault="00F5666A" w:rsidP="00F5666A">
      <w:pPr>
        <w:pStyle w:val="OPM-level1"/>
      </w:pPr>
      <w:proofErr w:type="gramStart"/>
      <w:r w:rsidRPr="00806677">
        <w:rPr>
          <w:u w:val="single" w:color="666699"/>
        </w:rPr>
        <w:t>payment</w:t>
      </w:r>
      <w:proofErr w:type="gramEnd"/>
      <w:r w:rsidRPr="00806677">
        <w:rPr>
          <w:u w:val="single" w:color="666699"/>
        </w:rPr>
        <w:t xml:space="preserve"> Type</w:t>
      </w:r>
      <w:r w:rsidRPr="00806677">
        <w:t xml:space="preserve"> = "Multiple recipients" and </w:t>
      </w:r>
    </w:p>
    <w:p w:rsidR="00F5666A" w:rsidRPr="00806677" w:rsidRDefault="00F5666A" w:rsidP="00F5666A">
      <w:pPr>
        <w:pStyle w:val="OPM-level1"/>
      </w:pPr>
      <w:r w:rsidRPr="00806677">
        <w:t>The multiple recipients criteria applies</w:t>
      </w:r>
    </w:p>
    <w:p w:rsidR="00F5666A" w:rsidRDefault="00F5666A" w:rsidP="00395A44"/>
    <w:p w:rsidR="00F5666A" w:rsidRPr="00806677" w:rsidRDefault="009D47C8" w:rsidP="009D47C8">
      <w:pPr>
        <w:pStyle w:val="OPM-conclusion"/>
      </w:pPr>
      <w:bookmarkStart w:id="39" w:name="_Toc529635061"/>
      <w:bookmarkStart w:id="40" w:name="_Toc529635550"/>
      <w:proofErr w:type="gramStart"/>
      <w:r w:rsidRPr="00806677">
        <w:t>the</w:t>
      </w:r>
      <w:proofErr w:type="gramEnd"/>
      <w:r w:rsidRPr="00806677">
        <w:t xml:space="preserve"> multiple recipients criteria applies if</w:t>
      </w:r>
      <w:bookmarkEnd w:id="39"/>
      <w:bookmarkEnd w:id="40"/>
    </w:p>
    <w:p w:rsidR="009D47C8" w:rsidRPr="00806677" w:rsidRDefault="00E259AA" w:rsidP="009D47C8">
      <w:pPr>
        <w:pStyle w:val="OPM-level1"/>
      </w:pPr>
      <w:r w:rsidRPr="00806677">
        <w:t xml:space="preserve">There </w:t>
      </w:r>
      <w:r w:rsidR="000855F4" w:rsidRPr="00806677">
        <w:t>is</w:t>
      </w:r>
      <w:r w:rsidRPr="00806677">
        <w:t xml:space="preserve"> more than one recipient</w:t>
      </w:r>
    </w:p>
    <w:p w:rsidR="007C6A70" w:rsidRDefault="007C6A70"/>
    <w:p w:rsidR="008B591E" w:rsidRDefault="008B591E">
      <w:pPr>
        <w:spacing w:after="160" w:line="259" w:lineRule="auto"/>
        <w:rPr>
          <w:rFonts w:ascii="Arial" w:hAnsi="Arial" w:cs="Arial"/>
          <w:bCs/>
          <w:i/>
          <w:sz w:val="20"/>
          <w:szCs w:val="22"/>
        </w:rPr>
      </w:pPr>
      <w:r>
        <w:rPr>
          <w:i/>
        </w:rPr>
        <w:br w:type="page"/>
      </w:r>
    </w:p>
    <w:p w:rsidR="008B591E" w:rsidRDefault="008B591E" w:rsidP="008B591E">
      <w:pPr>
        <w:pStyle w:val="Heading2"/>
        <w:jc w:val="center"/>
      </w:pPr>
      <w:bookmarkStart w:id="41" w:name="_Toc529635551"/>
      <w:proofErr w:type="spellStart"/>
      <w:r>
        <w:lastRenderedPageBreak/>
        <w:t>RuleBase</w:t>
      </w:r>
      <w:proofErr w:type="spellEnd"/>
      <w:r>
        <w:t xml:space="preserve"> Logic – Interview Control</w:t>
      </w:r>
      <w:bookmarkEnd w:id="41"/>
    </w:p>
    <w:p w:rsidR="008B591E" w:rsidRPr="001B50AE" w:rsidRDefault="008B591E" w:rsidP="001B50AE"/>
    <w:p w:rsidR="008B591E" w:rsidRPr="008B591E" w:rsidRDefault="008B591E" w:rsidP="008B591E"/>
    <w:p w:rsidR="00970503" w:rsidRPr="00611E6D" w:rsidRDefault="00611E6D" w:rsidP="00611E6D">
      <w:pPr>
        <w:pStyle w:val="Heading3"/>
        <w:jc w:val="center"/>
        <w:rPr>
          <w:i/>
        </w:rPr>
      </w:pPr>
      <w:bookmarkStart w:id="42" w:name="_Toc529635552"/>
      <w:r>
        <w:rPr>
          <w:i/>
        </w:rPr>
        <w:t>Interview Control – Payment case</w:t>
      </w:r>
      <w:bookmarkEnd w:id="42"/>
    </w:p>
    <w:p w:rsidR="00970503" w:rsidRDefault="00970503"/>
    <w:p w:rsidR="009539C5" w:rsidRPr="00806677" w:rsidRDefault="00C82B89" w:rsidP="00C82B89">
      <w:pPr>
        <w:pStyle w:val="OPM-conclusion"/>
      </w:pPr>
      <w:bookmarkStart w:id="43" w:name="_Toc529635063"/>
      <w:bookmarkStart w:id="44" w:name="_Toc529635553"/>
      <w:r w:rsidRPr="00806677">
        <w:t>The Margin Scheme may apply if</w:t>
      </w:r>
      <w:bookmarkEnd w:id="43"/>
      <w:bookmarkEnd w:id="44"/>
    </w:p>
    <w:p w:rsidR="00C82B89" w:rsidRPr="00806677" w:rsidRDefault="00FE4BB8" w:rsidP="00C82B89">
      <w:pPr>
        <w:pStyle w:val="OPM-level1"/>
      </w:pPr>
      <w:r w:rsidRPr="00806677">
        <w:rPr>
          <w:u w:val="single" w:color="666699"/>
        </w:rPr>
        <w:t>Payment Type</w:t>
      </w:r>
      <w:r w:rsidRPr="00806677">
        <w:t xml:space="preserve"> = “</w:t>
      </w:r>
      <w:r w:rsidR="00843774" w:rsidRPr="00806677">
        <w:t>Margin S</w:t>
      </w:r>
      <w:r w:rsidR="00C82B89" w:rsidRPr="00806677">
        <w:t>cheme</w:t>
      </w:r>
      <w:r w:rsidRPr="00806677">
        <w:t>”</w:t>
      </w:r>
    </w:p>
    <w:p w:rsidR="00C82B89" w:rsidRDefault="00C82B89"/>
    <w:p w:rsidR="00843774" w:rsidRPr="00806677" w:rsidRDefault="00843774" w:rsidP="00843774">
      <w:pPr>
        <w:pStyle w:val="OPM-conclusion"/>
      </w:pPr>
      <w:bookmarkStart w:id="45" w:name="_Toc529635064"/>
      <w:bookmarkStart w:id="46" w:name="_Toc529635554"/>
      <w:r w:rsidRPr="00806677">
        <w:t xml:space="preserve">The </w:t>
      </w:r>
      <w:r w:rsidR="00475796" w:rsidRPr="00806677">
        <w:t xml:space="preserve">Supply </w:t>
      </w:r>
      <w:proofErr w:type="gramStart"/>
      <w:r w:rsidRPr="00806677">
        <w:t>Between</w:t>
      </w:r>
      <w:proofErr w:type="gramEnd"/>
      <w:r w:rsidRPr="00806677">
        <w:t xml:space="preserve"> Associates may apply if</w:t>
      </w:r>
      <w:bookmarkEnd w:id="45"/>
      <w:bookmarkEnd w:id="46"/>
    </w:p>
    <w:p w:rsidR="00843774" w:rsidRPr="00806677" w:rsidRDefault="00843774" w:rsidP="00843774">
      <w:pPr>
        <w:pStyle w:val="OPM-level1"/>
      </w:pPr>
      <w:r w:rsidRPr="00806677">
        <w:rPr>
          <w:u w:val="single" w:color="666699"/>
        </w:rPr>
        <w:t>Payment Type</w:t>
      </w:r>
      <w:r w:rsidR="00970503" w:rsidRPr="00806677">
        <w:t xml:space="preserve"> = "Between a</w:t>
      </w:r>
      <w:r w:rsidRPr="00806677">
        <w:t xml:space="preserve">ssociates" </w:t>
      </w:r>
    </w:p>
    <w:p w:rsidR="00611E6D" w:rsidRDefault="00611E6D"/>
    <w:p w:rsidR="00374EFF" w:rsidRPr="00806677" w:rsidRDefault="00177675" w:rsidP="00177675">
      <w:pPr>
        <w:pStyle w:val="OPM-conclusion"/>
      </w:pPr>
      <w:bookmarkStart w:id="47" w:name="_Toc529635065"/>
      <w:bookmarkStart w:id="48" w:name="_Toc529635555"/>
      <w:r w:rsidRPr="00806677">
        <w:t>The Part Supply may apply if</w:t>
      </w:r>
      <w:bookmarkEnd w:id="47"/>
      <w:bookmarkEnd w:id="48"/>
    </w:p>
    <w:p w:rsidR="00177675" w:rsidRPr="00806677" w:rsidRDefault="00177675" w:rsidP="00177675">
      <w:pPr>
        <w:pStyle w:val="OPM-level1"/>
      </w:pPr>
      <w:r w:rsidRPr="00806677">
        <w:rPr>
          <w:u w:val="single" w:color="666699"/>
        </w:rPr>
        <w:t>Payment Type</w:t>
      </w:r>
      <w:r w:rsidRPr="00806677">
        <w:t xml:space="preserve"> = "Partly a supply of residential premises”</w:t>
      </w:r>
    </w:p>
    <w:p w:rsidR="00177675" w:rsidRDefault="00177675"/>
    <w:p w:rsidR="00177675" w:rsidRPr="00806677" w:rsidRDefault="00177675" w:rsidP="00177675">
      <w:pPr>
        <w:pStyle w:val="OPM-conclusion"/>
      </w:pPr>
      <w:bookmarkStart w:id="49" w:name="_Toc529635066"/>
      <w:bookmarkStart w:id="50" w:name="_Toc529635556"/>
      <w:r w:rsidRPr="00806677">
        <w:t>The Multiple Recipients may apply if</w:t>
      </w:r>
      <w:bookmarkEnd w:id="49"/>
      <w:bookmarkEnd w:id="50"/>
    </w:p>
    <w:p w:rsidR="00177675" w:rsidRPr="00806677" w:rsidRDefault="00177675" w:rsidP="00177675">
      <w:pPr>
        <w:pStyle w:val="OPM-level1"/>
      </w:pPr>
      <w:r w:rsidRPr="00806677">
        <w:rPr>
          <w:u w:val="single" w:color="666699"/>
        </w:rPr>
        <w:t>Payment Type</w:t>
      </w:r>
      <w:r w:rsidRPr="00806677">
        <w:t xml:space="preserve"> = "Multiple recipients"</w:t>
      </w:r>
    </w:p>
    <w:p w:rsidR="00177675" w:rsidRDefault="00177675"/>
    <w:p w:rsidR="00F476C9" w:rsidRDefault="00F476C9" w:rsidP="00F476C9"/>
    <w:p w:rsidR="00F476C9" w:rsidRDefault="00F476C9" w:rsidP="00F476C9">
      <w:pPr>
        <w:pStyle w:val="Heading3"/>
        <w:jc w:val="center"/>
        <w:rPr>
          <w:i/>
        </w:rPr>
      </w:pPr>
      <w:bookmarkStart w:id="51" w:name="_Toc529635557"/>
      <w:r>
        <w:rPr>
          <w:i/>
        </w:rPr>
        <w:t>Interview Control – Supply between associates</w:t>
      </w:r>
      <w:bookmarkEnd w:id="51"/>
    </w:p>
    <w:p w:rsidR="00F476C9" w:rsidRPr="00F476C9" w:rsidRDefault="00F476C9" w:rsidP="00F476C9"/>
    <w:p w:rsidR="00F476C9" w:rsidRPr="00806677" w:rsidRDefault="004878D7" w:rsidP="00F476C9">
      <w:pPr>
        <w:pStyle w:val="OPM-conclusion"/>
      </w:pPr>
      <w:bookmarkStart w:id="52" w:name="_Toc529635068"/>
      <w:bookmarkStart w:id="53" w:name="_Toc529635558"/>
      <w:r w:rsidRPr="00806677">
        <w:t xml:space="preserve">The test for when a purchaser is an associate </w:t>
      </w:r>
      <w:r w:rsidR="00F476C9" w:rsidRPr="00806677">
        <w:t>is required if</w:t>
      </w:r>
      <w:bookmarkEnd w:id="52"/>
      <w:bookmarkEnd w:id="53"/>
    </w:p>
    <w:p w:rsidR="00F476C9" w:rsidRPr="00806677" w:rsidRDefault="00F476C9" w:rsidP="00F476C9">
      <w:pPr>
        <w:pStyle w:val="OPM-level1"/>
      </w:pPr>
      <w:proofErr w:type="gramStart"/>
      <w:r w:rsidRPr="00806677">
        <w:rPr>
          <w:u w:val="single" w:color="666699"/>
        </w:rPr>
        <w:t>the</w:t>
      </w:r>
      <w:proofErr w:type="gramEnd"/>
      <w:r w:rsidRPr="00806677">
        <w:rPr>
          <w:u w:val="single" w:color="666699"/>
        </w:rPr>
        <w:t xml:space="preserve"> supply is between associates</w:t>
      </w:r>
      <w:r w:rsidRPr="00806677">
        <w:t xml:space="preserve"> is uncertain</w:t>
      </w:r>
    </w:p>
    <w:p w:rsidR="00F476C9" w:rsidRDefault="00F476C9"/>
    <w:p w:rsidR="00E259AA" w:rsidRDefault="00E259AA" w:rsidP="00E259AA">
      <w:pPr>
        <w:pStyle w:val="Heading3"/>
        <w:jc w:val="center"/>
        <w:rPr>
          <w:i/>
        </w:rPr>
      </w:pPr>
      <w:bookmarkStart w:id="54" w:name="_Toc529635559"/>
      <w:r>
        <w:rPr>
          <w:i/>
        </w:rPr>
        <w:t>Interview Control – Supply between associates</w:t>
      </w:r>
      <w:bookmarkEnd w:id="54"/>
    </w:p>
    <w:p w:rsidR="00E231E2" w:rsidRPr="00E231E2" w:rsidRDefault="00E231E2" w:rsidP="00E231E2"/>
    <w:p w:rsidR="00E259AA" w:rsidRPr="00806677" w:rsidRDefault="00E231E2" w:rsidP="00E231E2">
      <w:pPr>
        <w:pStyle w:val="OPM-conclusion"/>
      </w:pPr>
      <w:bookmarkStart w:id="55" w:name="_Toc529635070"/>
      <w:bookmarkStart w:id="56" w:name="_Toc529635560"/>
      <w:r w:rsidRPr="00806677">
        <w:t>The explanation for more than one recipient is required if</w:t>
      </w:r>
      <w:bookmarkEnd w:id="55"/>
      <w:bookmarkEnd w:id="56"/>
    </w:p>
    <w:p w:rsidR="00E231E2" w:rsidRPr="00806677" w:rsidRDefault="00E231E2" w:rsidP="00E231E2">
      <w:pPr>
        <w:pStyle w:val="OPM-level1"/>
      </w:pPr>
      <w:r w:rsidRPr="00806677">
        <w:t>There is more than one recipient</w:t>
      </w:r>
    </w:p>
    <w:p w:rsidR="008B591E" w:rsidRDefault="008B591E">
      <w:pPr>
        <w:spacing w:after="160" w:line="259" w:lineRule="auto"/>
      </w:pPr>
      <w:r>
        <w:br w:type="page"/>
      </w:r>
    </w:p>
    <w:p w:rsidR="008B591E" w:rsidRDefault="008B591E" w:rsidP="008B591E">
      <w:pPr>
        <w:pStyle w:val="Heading2"/>
        <w:jc w:val="center"/>
      </w:pPr>
      <w:r>
        <w:lastRenderedPageBreak/>
        <w:t xml:space="preserve"> </w:t>
      </w:r>
      <w:bookmarkStart w:id="57" w:name="_Toc529635561"/>
      <w:r>
        <w:t>Appendix</w:t>
      </w:r>
      <w:bookmarkEnd w:id="57"/>
    </w:p>
    <w:p w:rsidR="00E231E2" w:rsidRDefault="00E231E2"/>
    <w:p w:rsidR="00D00261" w:rsidRPr="00D00261" w:rsidRDefault="001B50AE" w:rsidP="00D00261">
      <w:pPr>
        <w:pStyle w:val="Heading4"/>
        <w:jc w:val="center"/>
        <w:rPr>
          <w:b w:val="0"/>
        </w:rPr>
      </w:pPr>
      <w:r>
        <w:rPr>
          <w:b w:val="0"/>
        </w:rPr>
        <w:t xml:space="preserve">Appendix I – Supply </w:t>
      </w:r>
      <w:proofErr w:type="gramStart"/>
      <w:r w:rsidR="00E1297A">
        <w:rPr>
          <w:b w:val="0"/>
        </w:rPr>
        <w:t>Between</w:t>
      </w:r>
      <w:proofErr w:type="gramEnd"/>
      <w:r>
        <w:rPr>
          <w:b w:val="0"/>
        </w:rPr>
        <w:t xml:space="preserve"> Associates – Extended Legal Definition/Application</w:t>
      </w:r>
    </w:p>
    <w:p w:rsidR="001B50AE" w:rsidRDefault="001B50AE" w:rsidP="001B50AE">
      <w:pPr>
        <w:pStyle w:val="Heading5"/>
        <w:jc w:val="center"/>
        <w:rPr>
          <w:b w:val="0"/>
          <w:u w:val="single"/>
        </w:rPr>
      </w:pPr>
      <w:r>
        <w:rPr>
          <w:b w:val="0"/>
          <w:u w:val="single"/>
        </w:rPr>
        <w:t>“Primary Entity</w:t>
      </w:r>
      <w:r w:rsidRPr="007E6C42">
        <w:rPr>
          <w:b w:val="0"/>
          <w:u w:val="single"/>
        </w:rPr>
        <w:t>”</w:t>
      </w:r>
    </w:p>
    <w:p w:rsidR="00D00261" w:rsidRPr="00D00261" w:rsidRDefault="00D00261" w:rsidP="00D00261"/>
    <w:p w:rsidR="001B50AE" w:rsidRDefault="00D00261">
      <w:pPr>
        <w:rPr>
          <w:rFonts w:ascii="roboto" w:hAnsi="roboto" w:hint="eastAsia"/>
          <w:lang w:val="en-US"/>
        </w:rPr>
      </w:pPr>
      <w:r>
        <w:rPr>
          <w:rFonts w:ascii="roboto" w:hAnsi="roboto"/>
          <w:b/>
          <w:bCs/>
          <w:lang w:val="en-US"/>
        </w:rPr>
        <w:t xml:space="preserve">Primary Entity </w:t>
      </w:r>
      <w:r>
        <w:rPr>
          <w:rFonts w:ascii="roboto" w:hAnsi="roboto"/>
          <w:lang w:val="en-US"/>
        </w:rPr>
        <w:t>- It is our opinion that the primary entity refers to the seller of the property, or the person who immediately had/had ownership of the property before this transaction was completed.</w:t>
      </w:r>
    </w:p>
    <w:p w:rsidR="00D00261" w:rsidRDefault="00D00261">
      <w:pPr>
        <w:rPr>
          <w:rFonts w:ascii="roboto" w:hAnsi="roboto" w:hint="eastAsia"/>
          <w:lang w:val="en-US"/>
        </w:rPr>
      </w:pPr>
    </w:p>
    <w:p w:rsidR="00D00261" w:rsidRDefault="00D00261">
      <w:pPr>
        <w:rPr>
          <w:rFonts w:ascii="roboto" w:hAnsi="roboto" w:hint="eastAsia"/>
          <w:lang w:val="en-US"/>
        </w:rPr>
      </w:pPr>
    </w:p>
    <w:p w:rsidR="00D00261" w:rsidRDefault="00D00261" w:rsidP="00D00261">
      <w:pPr>
        <w:pStyle w:val="Heading4"/>
        <w:jc w:val="center"/>
        <w:rPr>
          <w:b w:val="0"/>
        </w:rPr>
      </w:pPr>
      <w:r>
        <w:rPr>
          <w:b w:val="0"/>
        </w:rPr>
        <w:t>Appendix III – Multiple Recipients – Extended Legal Definition/Application</w:t>
      </w:r>
    </w:p>
    <w:p w:rsidR="00D00261" w:rsidRPr="007E6C42" w:rsidRDefault="00D00261" w:rsidP="00D00261">
      <w:pPr>
        <w:pStyle w:val="Heading5"/>
        <w:jc w:val="center"/>
        <w:rPr>
          <w:b w:val="0"/>
          <w:u w:val="single"/>
        </w:rPr>
      </w:pPr>
      <w:r>
        <w:rPr>
          <w:b w:val="0"/>
          <w:u w:val="single"/>
        </w:rPr>
        <w:t>“Multiple Recipients</w:t>
      </w:r>
      <w:r w:rsidRPr="007E6C42">
        <w:rPr>
          <w:b w:val="0"/>
          <w:u w:val="single"/>
        </w:rPr>
        <w:t>”</w:t>
      </w:r>
    </w:p>
    <w:p w:rsidR="00D00261" w:rsidRDefault="00D00261"/>
    <w:p w:rsidR="00D00261" w:rsidRPr="00D00261" w:rsidRDefault="00D00261" w:rsidP="00D00261">
      <w:pPr>
        <w:spacing w:after="0"/>
        <w:rPr>
          <w:rFonts w:ascii="roboto" w:eastAsia="Times New Roman" w:hAnsi="roboto"/>
          <w:sz w:val="24"/>
          <w:lang w:val="en-US" w:eastAsia="en-AU"/>
        </w:rPr>
      </w:pPr>
      <w:r w:rsidRPr="00D00261">
        <w:rPr>
          <w:rFonts w:ascii="roboto" w:eastAsia="Times New Roman" w:hAnsi="roboto"/>
          <w:sz w:val="24"/>
          <w:lang w:val="en-US" w:eastAsia="en-AU"/>
        </w:rPr>
        <w:t xml:space="preserve">If there is more than one recipient of the supply: </w:t>
      </w:r>
    </w:p>
    <w:p w:rsidR="00D00261" w:rsidRPr="00D00261" w:rsidRDefault="00D00261" w:rsidP="00D00261">
      <w:pPr>
        <w:numPr>
          <w:ilvl w:val="0"/>
          <w:numId w:val="11"/>
        </w:numPr>
        <w:spacing w:before="100" w:beforeAutospacing="1" w:after="100" w:afterAutospacing="1"/>
        <w:rPr>
          <w:rFonts w:ascii="roboto" w:eastAsia="Times New Roman" w:hAnsi="roboto"/>
          <w:sz w:val="24"/>
          <w:lang w:val="en-US" w:eastAsia="en-AU"/>
        </w:rPr>
      </w:pPr>
      <w:r w:rsidRPr="00D00261">
        <w:rPr>
          <w:rFonts w:ascii="roboto" w:eastAsia="Times New Roman" w:hAnsi="roboto"/>
          <w:sz w:val="24"/>
          <w:lang w:val="en-US" w:eastAsia="en-AU"/>
        </w:rPr>
        <w:t xml:space="preserve">treat each recipient as being the recipient of a separate supply </w:t>
      </w:r>
    </w:p>
    <w:p w:rsidR="00D00261" w:rsidRPr="00D00261" w:rsidRDefault="00D00261" w:rsidP="00D00261">
      <w:pPr>
        <w:numPr>
          <w:ilvl w:val="0"/>
          <w:numId w:val="11"/>
        </w:numPr>
        <w:spacing w:before="100" w:beforeAutospacing="1" w:after="100" w:afterAutospacing="1"/>
        <w:rPr>
          <w:rFonts w:ascii="roboto" w:eastAsia="Times New Roman" w:hAnsi="roboto"/>
          <w:sz w:val="24"/>
          <w:lang w:val="en-US" w:eastAsia="en-AU"/>
        </w:rPr>
      </w:pPr>
      <w:r w:rsidRPr="00D00261">
        <w:rPr>
          <w:rFonts w:ascii="roboto" w:eastAsia="Times New Roman" w:hAnsi="roboto"/>
          <w:sz w:val="24"/>
          <w:lang w:val="en-US" w:eastAsia="en-AU"/>
        </w:rPr>
        <w:t xml:space="preserve">treat the amount for such as separate supply as being the same proportion of that amount for the original supply, as the proportion of the original supply that is constitute by that separate supply </w:t>
      </w:r>
    </w:p>
    <w:p w:rsidR="00D00261" w:rsidRPr="00D00261" w:rsidRDefault="00D00261" w:rsidP="00D00261">
      <w:pPr>
        <w:spacing w:after="100"/>
        <w:rPr>
          <w:rFonts w:ascii="roboto" w:eastAsia="Times New Roman" w:hAnsi="roboto"/>
          <w:sz w:val="24"/>
          <w:lang w:val="en-US" w:eastAsia="en-AU"/>
        </w:rPr>
      </w:pPr>
      <w:r w:rsidRPr="00D00261">
        <w:rPr>
          <w:rFonts w:ascii="roboto" w:eastAsia="Times New Roman" w:hAnsi="roboto"/>
          <w:i/>
          <w:iCs/>
          <w:sz w:val="24"/>
          <w:lang w:val="en-US" w:eastAsia="en-AU"/>
        </w:rPr>
        <w:t xml:space="preserve">Taxation Administration Act 1953 </w:t>
      </w:r>
      <w:r w:rsidRPr="00D00261">
        <w:rPr>
          <w:rFonts w:ascii="roboto" w:eastAsia="Times New Roman" w:hAnsi="roboto"/>
          <w:sz w:val="24"/>
          <w:lang w:val="en-US" w:eastAsia="en-AU"/>
        </w:rPr>
        <w:t>(</w:t>
      </w:r>
      <w:proofErr w:type="spellStart"/>
      <w:r w:rsidRPr="00D00261">
        <w:rPr>
          <w:rFonts w:ascii="roboto" w:eastAsia="Times New Roman" w:hAnsi="roboto"/>
          <w:sz w:val="24"/>
          <w:lang w:val="en-US" w:eastAsia="en-AU"/>
        </w:rPr>
        <w:t>Cth</w:t>
      </w:r>
      <w:proofErr w:type="spellEnd"/>
      <w:r w:rsidRPr="00D00261">
        <w:rPr>
          <w:rFonts w:ascii="roboto" w:eastAsia="Times New Roman" w:hAnsi="roboto"/>
          <w:sz w:val="24"/>
          <w:lang w:val="en-US" w:eastAsia="en-AU"/>
        </w:rPr>
        <w:t>) s 14-250 (11</w:t>
      </w:r>
      <w:proofErr w:type="gramStart"/>
      <w:r w:rsidRPr="00D00261">
        <w:rPr>
          <w:rFonts w:ascii="roboto" w:eastAsia="Times New Roman" w:hAnsi="roboto"/>
          <w:sz w:val="24"/>
          <w:lang w:val="en-US" w:eastAsia="en-AU"/>
        </w:rPr>
        <w:t>)(</w:t>
      </w:r>
      <w:proofErr w:type="gramEnd"/>
      <w:r w:rsidRPr="00D00261">
        <w:rPr>
          <w:rFonts w:ascii="roboto" w:eastAsia="Times New Roman" w:hAnsi="roboto"/>
          <w:sz w:val="24"/>
          <w:lang w:val="en-US" w:eastAsia="en-AU"/>
        </w:rPr>
        <w:t>a)(b)</w:t>
      </w:r>
    </w:p>
    <w:p w:rsidR="00D00261" w:rsidRDefault="00D00261"/>
    <w:sectPr w:rsidR="00D00261">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C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5AA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54E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EA20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84C2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7E0D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78C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4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68D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8A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3C21CD"/>
    <w:multiLevelType w:val="multilevel"/>
    <w:tmpl w:val="F56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27"/>
    <w:rsid w:val="00003B09"/>
    <w:rsid w:val="00007899"/>
    <w:rsid w:val="00047ED2"/>
    <w:rsid w:val="00050933"/>
    <w:rsid w:val="000855F4"/>
    <w:rsid w:val="00095A88"/>
    <w:rsid w:val="000A59E5"/>
    <w:rsid w:val="000A65CB"/>
    <w:rsid w:val="000C1B65"/>
    <w:rsid w:val="000D09E4"/>
    <w:rsid w:val="000D2E75"/>
    <w:rsid w:val="000E56A5"/>
    <w:rsid w:val="000F7224"/>
    <w:rsid w:val="00104BEC"/>
    <w:rsid w:val="001218D3"/>
    <w:rsid w:val="00132F03"/>
    <w:rsid w:val="001732C3"/>
    <w:rsid w:val="00173F79"/>
    <w:rsid w:val="00177675"/>
    <w:rsid w:val="001A45EE"/>
    <w:rsid w:val="001A47B1"/>
    <w:rsid w:val="001B50AE"/>
    <w:rsid w:val="001C2D98"/>
    <w:rsid w:val="001C51C1"/>
    <w:rsid w:val="001D5C5F"/>
    <w:rsid w:val="001F095C"/>
    <w:rsid w:val="00200817"/>
    <w:rsid w:val="002067FE"/>
    <w:rsid w:val="002123FC"/>
    <w:rsid w:val="00217EF8"/>
    <w:rsid w:val="00223CCF"/>
    <w:rsid w:val="002401C9"/>
    <w:rsid w:val="0029232F"/>
    <w:rsid w:val="002C198F"/>
    <w:rsid w:val="002C2058"/>
    <w:rsid w:val="002C51B1"/>
    <w:rsid w:val="002C7CB1"/>
    <w:rsid w:val="002D0832"/>
    <w:rsid w:val="002D108C"/>
    <w:rsid w:val="002E6BB8"/>
    <w:rsid w:val="002E79D4"/>
    <w:rsid w:val="002F7F03"/>
    <w:rsid w:val="00307FDD"/>
    <w:rsid w:val="003276F3"/>
    <w:rsid w:val="00335DFD"/>
    <w:rsid w:val="00340A1A"/>
    <w:rsid w:val="00353BA2"/>
    <w:rsid w:val="00363EE2"/>
    <w:rsid w:val="00374472"/>
    <w:rsid w:val="00374EFF"/>
    <w:rsid w:val="00395156"/>
    <w:rsid w:val="00395A44"/>
    <w:rsid w:val="003A64E3"/>
    <w:rsid w:val="003B33BC"/>
    <w:rsid w:val="003D164B"/>
    <w:rsid w:val="003E0E27"/>
    <w:rsid w:val="003E43BA"/>
    <w:rsid w:val="004255FD"/>
    <w:rsid w:val="00435A50"/>
    <w:rsid w:val="0043709B"/>
    <w:rsid w:val="004376BB"/>
    <w:rsid w:val="0045231D"/>
    <w:rsid w:val="00454E33"/>
    <w:rsid w:val="004634B9"/>
    <w:rsid w:val="00475796"/>
    <w:rsid w:val="00476C48"/>
    <w:rsid w:val="00484B0B"/>
    <w:rsid w:val="004878D7"/>
    <w:rsid w:val="004922C7"/>
    <w:rsid w:val="004934BF"/>
    <w:rsid w:val="0049721A"/>
    <w:rsid w:val="004B2961"/>
    <w:rsid w:val="004B4FA6"/>
    <w:rsid w:val="004B598A"/>
    <w:rsid w:val="004D2F82"/>
    <w:rsid w:val="004F08DB"/>
    <w:rsid w:val="004F0C2A"/>
    <w:rsid w:val="004F4989"/>
    <w:rsid w:val="00504F21"/>
    <w:rsid w:val="005071B2"/>
    <w:rsid w:val="00513A25"/>
    <w:rsid w:val="0056104E"/>
    <w:rsid w:val="005A3EE7"/>
    <w:rsid w:val="005A413A"/>
    <w:rsid w:val="005D7738"/>
    <w:rsid w:val="005E3983"/>
    <w:rsid w:val="005F415E"/>
    <w:rsid w:val="005F7E4E"/>
    <w:rsid w:val="00600665"/>
    <w:rsid w:val="00611E6D"/>
    <w:rsid w:val="00623198"/>
    <w:rsid w:val="006517C6"/>
    <w:rsid w:val="006600EE"/>
    <w:rsid w:val="00665045"/>
    <w:rsid w:val="006924EA"/>
    <w:rsid w:val="006A13C2"/>
    <w:rsid w:val="006A4FF9"/>
    <w:rsid w:val="006D23EB"/>
    <w:rsid w:val="006D46DE"/>
    <w:rsid w:val="006E4C6B"/>
    <w:rsid w:val="006E5759"/>
    <w:rsid w:val="006E5975"/>
    <w:rsid w:val="006F7988"/>
    <w:rsid w:val="0070125A"/>
    <w:rsid w:val="00704E0F"/>
    <w:rsid w:val="007137EB"/>
    <w:rsid w:val="0072356C"/>
    <w:rsid w:val="00744650"/>
    <w:rsid w:val="00745538"/>
    <w:rsid w:val="00755AF3"/>
    <w:rsid w:val="00776C54"/>
    <w:rsid w:val="007B59BE"/>
    <w:rsid w:val="007C6A70"/>
    <w:rsid w:val="007F2DE2"/>
    <w:rsid w:val="007F4311"/>
    <w:rsid w:val="00806677"/>
    <w:rsid w:val="008310E2"/>
    <w:rsid w:val="00831962"/>
    <w:rsid w:val="00831B33"/>
    <w:rsid w:val="0083399F"/>
    <w:rsid w:val="00843774"/>
    <w:rsid w:val="008652E4"/>
    <w:rsid w:val="00866560"/>
    <w:rsid w:val="00884EAF"/>
    <w:rsid w:val="00885514"/>
    <w:rsid w:val="00897092"/>
    <w:rsid w:val="008B591E"/>
    <w:rsid w:val="008B6EF3"/>
    <w:rsid w:val="008C4D7E"/>
    <w:rsid w:val="008D0FF7"/>
    <w:rsid w:val="008E3A73"/>
    <w:rsid w:val="00901559"/>
    <w:rsid w:val="00927CA3"/>
    <w:rsid w:val="009438F2"/>
    <w:rsid w:val="009539C5"/>
    <w:rsid w:val="00970503"/>
    <w:rsid w:val="00974CDC"/>
    <w:rsid w:val="00987701"/>
    <w:rsid w:val="009A223F"/>
    <w:rsid w:val="009A3031"/>
    <w:rsid w:val="009A3ED2"/>
    <w:rsid w:val="009D47C8"/>
    <w:rsid w:val="009D5C6E"/>
    <w:rsid w:val="00A112CC"/>
    <w:rsid w:val="00A20442"/>
    <w:rsid w:val="00A34274"/>
    <w:rsid w:val="00A426FB"/>
    <w:rsid w:val="00A45C76"/>
    <w:rsid w:val="00A71F84"/>
    <w:rsid w:val="00A85B4B"/>
    <w:rsid w:val="00AD2A05"/>
    <w:rsid w:val="00AE19D8"/>
    <w:rsid w:val="00AF040D"/>
    <w:rsid w:val="00B15052"/>
    <w:rsid w:val="00B16530"/>
    <w:rsid w:val="00B22E89"/>
    <w:rsid w:val="00B23656"/>
    <w:rsid w:val="00B26CB3"/>
    <w:rsid w:val="00B3677C"/>
    <w:rsid w:val="00B419B4"/>
    <w:rsid w:val="00B52937"/>
    <w:rsid w:val="00B6142A"/>
    <w:rsid w:val="00B764C7"/>
    <w:rsid w:val="00B8506E"/>
    <w:rsid w:val="00BE0E4B"/>
    <w:rsid w:val="00C21097"/>
    <w:rsid w:val="00C25164"/>
    <w:rsid w:val="00C321C1"/>
    <w:rsid w:val="00C52D28"/>
    <w:rsid w:val="00C53281"/>
    <w:rsid w:val="00C824D6"/>
    <w:rsid w:val="00C82B89"/>
    <w:rsid w:val="00C83AAA"/>
    <w:rsid w:val="00C84597"/>
    <w:rsid w:val="00C929CA"/>
    <w:rsid w:val="00CC0ACA"/>
    <w:rsid w:val="00CC1FAB"/>
    <w:rsid w:val="00CC4E49"/>
    <w:rsid w:val="00CE0C56"/>
    <w:rsid w:val="00CE2F71"/>
    <w:rsid w:val="00CE49BD"/>
    <w:rsid w:val="00CF62F7"/>
    <w:rsid w:val="00D00261"/>
    <w:rsid w:val="00D01A9F"/>
    <w:rsid w:val="00D104AB"/>
    <w:rsid w:val="00D334E2"/>
    <w:rsid w:val="00D3564A"/>
    <w:rsid w:val="00D52F58"/>
    <w:rsid w:val="00D56823"/>
    <w:rsid w:val="00D605AC"/>
    <w:rsid w:val="00DA3B36"/>
    <w:rsid w:val="00DB05C7"/>
    <w:rsid w:val="00DE2400"/>
    <w:rsid w:val="00DF1DED"/>
    <w:rsid w:val="00E1297A"/>
    <w:rsid w:val="00E231E2"/>
    <w:rsid w:val="00E259AA"/>
    <w:rsid w:val="00E86D39"/>
    <w:rsid w:val="00E9735A"/>
    <w:rsid w:val="00EB550F"/>
    <w:rsid w:val="00ED7DB9"/>
    <w:rsid w:val="00F268F4"/>
    <w:rsid w:val="00F342B1"/>
    <w:rsid w:val="00F476C9"/>
    <w:rsid w:val="00F47D25"/>
    <w:rsid w:val="00F5666A"/>
    <w:rsid w:val="00F56DA6"/>
    <w:rsid w:val="00F57D6E"/>
    <w:rsid w:val="00F710CE"/>
    <w:rsid w:val="00F71D70"/>
    <w:rsid w:val="00F933AA"/>
    <w:rsid w:val="00FA3D82"/>
    <w:rsid w:val="00FB4C1C"/>
    <w:rsid w:val="00FC1B95"/>
    <w:rsid w:val="00FE4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2E2E1-ED6C-407F-8E50-81E38682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DFD"/>
    <w:pPr>
      <w:spacing w:after="120" w:line="240" w:lineRule="auto"/>
    </w:pPr>
    <w:rPr>
      <w:rFonts w:ascii="Times New Roman" w:eastAsia="Batang" w:hAnsi="Times New Roman" w:cs="Times New Roman"/>
      <w:szCs w:val="24"/>
    </w:rPr>
  </w:style>
  <w:style w:type="paragraph" w:styleId="Heading1">
    <w:name w:val="heading 1"/>
    <w:basedOn w:val="Normal"/>
    <w:next w:val="Normal"/>
    <w:link w:val="Heading1Char"/>
    <w:qFormat/>
    <w:rsid w:val="00335DFD"/>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35DFD"/>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335DFD"/>
    <w:pPr>
      <w:keepNext/>
      <w:outlineLvl w:val="2"/>
    </w:pPr>
    <w:rPr>
      <w:rFonts w:ascii="Arial" w:hAnsi="Arial" w:cs="Arial"/>
      <w:bCs/>
      <w:sz w:val="20"/>
      <w:szCs w:val="22"/>
    </w:rPr>
  </w:style>
  <w:style w:type="paragraph" w:styleId="Heading4">
    <w:name w:val="heading 4"/>
    <w:basedOn w:val="Normal"/>
    <w:next w:val="Normal"/>
    <w:link w:val="Heading4Char"/>
    <w:qFormat/>
    <w:rsid w:val="00335DFD"/>
    <w:pPr>
      <w:keepNext/>
      <w:spacing w:before="120"/>
      <w:outlineLvl w:val="3"/>
    </w:pPr>
    <w:rPr>
      <w:rFonts w:ascii="Arial" w:hAnsi="Arial"/>
      <w:b/>
      <w:bCs/>
      <w:i/>
      <w:sz w:val="20"/>
      <w:szCs w:val="28"/>
    </w:rPr>
  </w:style>
  <w:style w:type="paragraph" w:styleId="Heading5">
    <w:name w:val="heading 5"/>
    <w:basedOn w:val="Normal"/>
    <w:next w:val="Normal"/>
    <w:link w:val="Heading5Char"/>
    <w:qFormat/>
    <w:rsid w:val="00335DFD"/>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0E27"/>
    <w:rPr>
      <w:rFonts w:ascii="Arial" w:eastAsia="Batang" w:hAnsi="Arial" w:cs="Arial"/>
      <w:b/>
      <w:bCs/>
      <w:iCs/>
      <w:sz w:val="24"/>
      <w:szCs w:val="28"/>
    </w:rPr>
  </w:style>
  <w:style w:type="paragraph" w:customStyle="1" w:styleId="OPM-conclusion">
    <w:name w:val="OPM - conclusion"/>
    <w:basedOn w:val="BodyText"/>
    <w:next w:val="OPM-level1"/>
    <w:rsid w:val="00335DFD"/>
    <w:pPr>
      <w:keepNext/>
      <w:spacing w:before="120"/>
      <w:ind w:left="567" w:hanging="567"/>
      <w:outlineLvl w:val="2"/>
    </w:pPr>
    <w:rPr>
      <w:b/>
      <w:bCs/>
      <w:szCs w:val="22"/>
    </w:rPr>
  </w:style>
  <w:style w:type="paragraph" w:customStyle="1" w:styleId="OPM-level1">
    <w:name w:val="OPM - level 1"/>
    <w:basedOn w:val="OPM-conclusion"/>
    <w:rsid w:val="00335DFD"/>
    <w:pPr>
      <w:shd w:val="clear" w:color="auto" w:fill="FFFFCC"/>
      <w:spacing w:before="60"/>
      <w:ind w:left="1134"/>
      <w:outlineLvl w:val="3"/>
    </w:pPr>
    <w:rPr>
      <w:b w:val="0"/>
    </w:rPr>
  </w:style>
  <w:style w:type="paragraph" w:styleId="BodyText">
    <w:name w:val="Body Text"/>
    <w:link w:val="BodyTextChar"/>
    <w:rsid w:val="00335DFD"/>
    <w:pPr>
      <w:spacing w:after="0" w:line="240" w:lineRule="auto"/>
    </w:pPr>
    <w:rPr>
      <w:rFonts w:ascii="Verdana" w:eastAsia="Batang" w:hAnsi="Verdana" w:cs="Times New Roman"/>
      <w:sz w:val="16"/>
      <w:szCs w:val="24"/>
    </w:rPr>
  </w:style>
  <w:style w:type="character" w:customStyle="1" w:styleId="BodyTextChar">
    <w:name w:val="Body Text Char"/>
    <w:basedOn w:val="DefaultParagraphFont"/>
    <w:link w:val="BodyText"/>
    <w:rsid w:val="00335DFD"/>
    <w:rPr>
      <w:rFonts w:ascii="Verdana" w:eastAsia="Batang" w:hAnsi="Verdana" w:cs="Times New Roman"/>
      <w:sz w:val="16"/>
      <w:szCs w:val="24"/>
    </w:rPr>
  </w:style>
  <w:style w:type="character" w:customStyle="1" w:styleId="Heading1Char">
    <w:name w:val="Heading 1 Char"/>
    <w:basedOn w:val="DefaultParagraphFont"/>
    <w:link w:val="Heading1"/>
    <w:rsid w:val="00335DFD"/>
    <w:rPr>
      <w:rFonts w:ascii="Arial" w:eastAsia="Batang" w:hAnsi="Arial" w:cs="Arial"/>
      <w:b/>
      <w:bCs/>
      <w:kern w:val="32"/>
      <w:sz w:val="28"/>
      <w:szCs w:val="32"/>
    </w:rPr>
  </w:style>
  <w:style w:type="character" w:customStyle="1" w:styleId="Heading3Char">
    <w:name w:val="Heading 3 Char"/>
    <w:basedOn w:val="DefaultParagraphFont"/>
    <w:link w:val="Heading3"/>
    <w:rsid w:val="00335DFD"/>
    <w:rPr>
      <w:rFonts w:ascii="Arial" w:eastAsia="Batang" w:hAnsi="Arial" w:cs="Arial"/>
      <w:bCs/>
      <w:sz w:val="20"/>
    </w:rPr>
  </w:style>
  <w:style w:type="character" w:customStyle="1" w:styleId="Heading4Char">
    <w:name w:val="Heading 4 Char"/>
    <w:basedOn w:val="DefaultParagraphFont"/>
    <w:link w:val="Heading4"/>
    <w:rsid w:val="00335DFD"/>
    <w:rPr>
      <w:rFonts w:ascii="Arial" w:eastAsia="Batang" w:hAnsi="Arial" w:cs="Times New Roman"/>
      <w:b/>
      <w:bCs/>
      <w:i/>
      <w:sz w:val="20"/>
      <w:szCs w:val="28"/>
    </w:rPr>
  </w:style>
  <w:style w:type="character" w:customStyle="1" w:styleId="Heading5Char">
    <w:name w:val="Heading 5 Char"/>
    <w:basedOn w:val="DefaultParagraphFont"/>
    <w:link w:val="Heading5"/>
    <w:rsid w:val="00335DFD"/>
    <w:rPr>
      <w:rFonts w:ascii="Times New Roman" w:eastAsia="Batang" w:hAnsi="Times New Roman" w:cs="Times New Roman"/>
      <w:b/>
      <w:bCs/>
      <w:szCs w:val="24"/>
    </w:rPr>
  </w:style>
  <w:style w:type="paragraph" w:customStyle="1" w:styleId="Tablecontents">
    <w:name w:val="Table contents"/>
    <w:basedOn w:val="Normal"/>
    <w:rsid w:val="00335DFD"/>
    <w:pPr>
      <w:spacing w:before="60" w:after="60"/>
      <w:ind w:left="284"/>
    </w:pPr>
  </w:style>
  <w:style w:type="paragraph" w:styleId="Footer">
    <w:name w:val="footer"/>
    <w:basedOn w:val="Normal"/>
    <w:link w:val="FooterChar"/>
    <w:rsid w:val="00335DFD"/>
    <w:pPr>
      <w:tabs>
        <w:tab w:val="center" w:pos="4320"/>
        <w:tab w:val="right" w:pos="8640"/>
      </w:tabs>
      <w:spacing w:after="0"/>
    </w:pPr>
  </w:style>
  <w:style w:type="character" w:customStyle="1" w:styleId="FooterChar">
    <w:name w:val="Footer Char"/>
    <w:basedOn w:val="DefaultParagraphFont"/>
    <w:link w:val="Footer"/>
    <w:rsid w:val="00335DFD"/>
    <w:rPr>
      <w:rFonts w:ascii="Times New Roman" w:eastAsia="Batang" w:hAnsi="Times New Roman" w:cs="Times New Roman"/>
      <w:szCs w:val="24"/>
    </w:rPr>
  </w:style>
  <w:style w:type="paragraph" w:styleId="Header">
    <w:name w:val="header"/>
    <w:basedOn w:val="Normal"/>
    <w:link w:val="HeaderChar"/>
    <w:rsid w:val="00335DFD"/>
    <w:pPr>
      <w:tabs>
        <w:tab w:val="center" w:pos="4320"/>
        <w:tab w:val="right" w:pos="8640"/>
      </w:tabs>
      <w:spacing w:after="0"/>
    </w:pPr>
  </w:style>
  <w:style w:type="character" w:customStyle="1" w:styleId="HeaderChar">
    <w:name w:val="Header Char"/>
    <w:basedOn w:val="DefaultParagraphFont"/>
    <w:link w:val="Header"/>
    <w:rsid w:val="00335DFD"/>
    <w:rPr>
      <w:rFonts w:ascii="Times New Roman" w:eastAsia="Batang" w:hAnsi="Times New Roman" w:cs="Times New Roman"/>
      <w:szCs w:val="24"/>
    </w:rPr>
  </w:style>
  <w:style w:type="table" w:styleId="TableGrid">
    <w:name w:val="Table Grid"/>
    <w:basedOn w:val="TableNormal"/>
    <w:rsid w:val="00335DFD"/>
    <w:pPr>
      <w:spacing w:after="120" w:line="240" w:lineRule="auto"/>
    </w:pPr>
    <w:rPr>
      <w:rFonts w:ascii="Times New Roman" w:eastAsia="Batang"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335DFD"/>
    <w:rPr>
      <w:sz w:val="20"/>
      <w:szCs w:val="20"/>
    </w:rPr>
  </w:style>
  <w:style w:type="character" w:customStyle="1" w:styleId="FootnoteTextChar">
    <w:name w:val="Footnote Text Char"/>
    <w:basedOn w:val="DefaultParagraphFont"/>
    <w:link w:val="FootnoteText"/>
    <w:semiHidden/>
    <w:rsid w:val="00335DFD"/>
    <w:rPr>
      <w:rFonts w:ascii="Times New Roman" w:eastAsia="Batang" w:hAnsi="Times New Roman" w:cs="Times New Roman"/>
      <w:sz w:val="20"/>
      <w:szCs w:val="20"/>
    </w:rPr>
  </w:style>
  <w:style w:type="character" w:styleId="FootnoteReference">
    <w:name w:val="footnote reference"/>
    <w:basedOn w:val="DefaultParagraphFont"/>
    <w:semiHidden/>
    <w:rsid w:val="00335DFD"/>
    <w:rPr>
      <w:vertAlign w:val="superscript"/>
    </w:rPr>
  </w:style>
  <w:style w:type="character" w:styleId="CommentReference">
    <w:name w:val="annotation reference"/>
    <w:basedOn w:val="DefaultParagraphFont"/>
    <w:semiHidden/>
    <w:rsid w:val="00335DFD"/>
    <w:rPr>
      <w:sz w:val="16"/>
      <w:szCs w:val="16"/>
    </w:rPr>
  </w:style>
  <w:style w:type="paragraph" w:styleId="DocumentMap">
    <w:name w:val="Document Map"/>
    <w:basedOn w:val="Normal"/>
    <w:link w:val="DocumentMapChar"/>
    <w:semiHidden/>
    <w:rsid w:val="00335DF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35DFD"/>
    <w:rPr>
      <w:rFonts w:ascii="Tahoma" w:eastAsia="Batang" w:hAnsi="Tahoma" w:cs="Tahoma"/>
      <w:sz w:val="20"/>
      <w:szCs w:val="20"/>
      <w:shd w:val="clear" w:color="auto" w:fill="000080"/>
    </w:rPr>
  </w:style>
  <w:style w:type="paragraph" w:customStyle="1" w:styleId="Comment-Level1">
    <w:name w:val="Comment - Level 1"/>
    <w:basedOn w:val="Normal"/>
    <w:rsid w:val="00335DFD"/>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335DFD"/>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335DFD"/>
    <w:pPr>
      <w:keepNext/>
      <w:spacing w:before="120"/>
      <w:outlineLvl w:val="2"/>
    </w:pPr>
    <w:rPr>
      <w:rFonts w:ascii="Arial" w:hAnsi="Arial" w:cs="Arial"/>
      <w:b/>
      <w:bCs/>
      <w:i/>
      <w:color w:val="808080"/>
      <w:sz w:val="20"/>
      <w:szCs w:val="22"/>
    </w:rPr>
  </w:style>
  <w:style w:type="paragraph" w:styleId="CommentText">
    <w:name w:val="annotation text"/>
    <w:basedOn w:val="Normal"/>
    <w:link w:val="CommentTextChar"/>
    <w:semiHidden/>
    <w:rsid w:val="00335DFD"/>
    <w:rPr>
      <w:sz w:val="20"/>
      <w:szCs w:val="20"/>
    </w:rPr>
  </w:style>
  <w:style w:type="character" w:customStyle="1" w:styleId="CommentTextChar">
    <w:name w:val="Comment Text Char"/>
    <w:basedOn w:val="DefaultParagraphFont"/>
    <w:link w:val="CommentText"/>
    <w:semiHidden/>
    <w:rsid w:val="00335DFD"/>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semiHidden/>
    <w:rsid w:val="00335DFD"/>
    <w:rPr>
      <w:b/>
      <w:bCs/>
    </w:rPr>
  </w:style>
  <w:style w:type="character" w:customStyle="1" w:styleId="CommentSubjectChar">
    <w:name w:val="Comment Subject Char"/>
    <w:basedOn w:val="CommentTextChar"/>
    <w:link w:val="CommentSubject"/>
    <w:semiHidden/>
    <w:rsid w:val="00335DFD"/>
    <w:rPr>
      <w:rFonts w:ascii="Times New Roman" w:eastAsia="Batang" w:hAnsi="Times New Roman" w:cs="Times New Roman"/>
      <w:b/>
      <w:bCs/>
      <w:sz w:val="20"/>
      <w:szCs w:val="20"/>
    </w:rPr>
  </w:style>
  <w:style w:type="paragraph" w:styleId="BalloonText">
    <w:name w:val="Balloon Text"/>
    <w:basedOn w:val="Normal"/>
    <w:link w:val="BalloonTextChar"/>
    <w:semiHidden/>
    <w:rsid w:val="00335DFD"/>
    <w:rPr>
      <w:rFonts w:ascii="Tahoma" w:hAnsi="Tahoma" w:cs="Tahoma"/>
      <w:sz w:val="16"/>
      <w:szCs w:val="16"/>
    </w:rPr>
  </w:style>
  <w:style w:type="character" w:customStyle="1" w:styleId="BalloonTextChar">
    <w:name w:val="Balloon Text Char"/>
    <w:basedOn w:val="DefaultParagraphFont"/>
    <w:link w:val="BalloonText"/>
    <w:semiHidden/>
    <w:rsid w:val="00335DFD"/>
    <w:rPr>
      <w:rFonts w:ascii="Tahoma" w:eastAsia="Batang" w:hAnsi="Tahoma" w:cs="Tahoma"/>
      <w:sz w:val="16"/>
      <w:szCs w:val="16"/>
    </w:rPr>
  </w:style>
  <w:style w:type="paragraph" w:customStyle="1" w:styleId="Comment-Level2">
    <w:name w:val="Comment - Level 2"/>
    <w:basedOn w:val="Normal"/>
    <w:rsid w:val="00335DFD"/>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335DFD"/>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335DFD"/>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335DFD"/>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335DFD"/>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335DFD"/>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335DFD"/>
  </w:style>
  <w:style w:type="paragraph" w:customStyle="1" w:styleId="OPM-blankline">
    <w:name w:val="OPM - blank line"/>
    <w:basedOn w:val="Normal"/>
    <w:rsid w:val="00335DFD"/>
    <w:pPr>
      <w:spacing w:before="120" w:after="0"/>
    </w:pPr>
    <w:rPr>
      <w:rFonts w:ascii="Verdana" w:hAnsi="Verdana" w:cs="Arial"/>
      <w:sz w:val="16"/>
      <w:szCs w:val="22"/>
    </w:rPr>
  </w:style>
  <w:style w:type="paragraph" w:customStyle="1" w:styleId="OPM-commentary">
    <w:name w:val="OPM - commentary"/>
    <w:basedOn w:val="Normal"/>
    <w:rsid w:val="00335DFD"/>
    <w:rPr>
      <w:rFonts w:ascii="Verdana" w:hAnsi="Verdana"/>
      <w:color w:val="FF6600"/>
      <w:sz w:val="16"/>
    </w:rPr>
  </w:style>
  <w:style w:type="paragraph" w:customStyle="1" w:styleId="OPM-Heading">
    <w:name w:val="OPM - Heading"/>
    <w:basedOn w:val="Normal"/>
    <w:next w:val="OPM-Heading2"/>
    <w:rsid w:val="00335DFD"/>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335DFD"/>
    <w:pPr>
      <w:ind w:left="1124" w:right="1138" w:hanging="562"/>
      <w:outlineLvl w:val="1"/>
    </w:pPr>
    <w:rPr>
      <w:b w:val="0"/>
      <w:iCs/>
    </w:rPr>
  </w:style>
  <w:style w:type="paragraph" w:customStyle="1" w:styleId="OPM-Heading3">
    <w:name w:val="OPM - Heading 3"/>
    <w:basedOn w:val="Normal"/>
    <w:next w:val="OPM-blankline"/>
    <w:rsid w:val="00335DFD"/>
    <w:pPr>
      <w:keepNext/>
      <w:spacing w:before="120"/>
      <w:outlineLvl w:val="2"/>
    </w:pPr>
    <w:rPr>
      <w:rFonts w:ascii="Arial" w:hAnsi="Arial" w:cs="Arial"/>
      <w:b/>
      <w:bCs/>
      <w:sz w:val="20"/>
      <w:szCs w:val="22"/>
    </w:rPr>
  </w:style>
  <w:style w:type="paragraph" w:customStyle="1" w:styleId="OPM-ignore">
    <w:name w:val="OPM - ignore"/>
    <w:basedOn w:val="Normal"/>
    <w:rsid w:val="00335DFD"/>
    <w:rPr>
      <w:rFonts w:ascii="Verdana" w:hAnsi="Verdana"/>
      <w:color w:val="FF00FF"/>
      <w:sz w:val="16"/>
    </w:rPr>
  </w:style>
  <w:style w:type="paragraph" w:customStyle="1" w:styleId="OPM-legend">
    <w:name w:val="OPM - legend"/>
    <w:basedOn w:val="Normal"/>
    <w:rsid w:val="00335DFD"/>
    <w:rPr>
      <w:rFonts w:ascii="Verdana" w:hAnsi="Verdana"/>
      <w:sz w:val="16"/>
      <w:szCs w:val="22"/>
    </w:rPr>
  </w:style>
  <w:style w:type="paragraph" w:customStyle="1" w:styleId="OPM-level2">
    <w:name w:val="OPM - level 2"/>
    <w:basedOn w:val="OPM-level1"/>
    <w:rsid w:val="00335DFD"/>
    <w:pPr>
      <w:shd w:val="clear" w:color="auto" w:fill="FFDDDD"/>
      <w:ind w:left="1701"/>
      <w:outlineLvl w:val="4"/>
    </w:pPr>
  </w:style>
  <w:style w:type="paragraph" w:customStyle="1" w:styleId="OPM-level3">
    <w:name w:val="OPM - level 3"/>
    <w:basedOn w:val="OPM-level2"/>
    <w:rsid w:val="00335DFD"/>
    <w:pPr>
      <w:shd w:val="clear" w:color="auto" w:fill="D5D5FF"/>
      <w:ind w:left="2268"/>
      <w:outlineLvl w:val="5"/>
    </w:pPr>
    <w:rPr>
      <w:rFonts w:cs="Arial"/>
    </w:rPr>
  </w:style>
  <w:style w:type="paragraph" w:customStyle="1" w:styleId="OPM-level4">
    <w:name w:val="OPM - level 4"/>
    <w:basedOn w:val="OPM-level3"/>
    <w:rsid w:val="00335DFD"/>
    <w:pPr>
      <w:shd w:val="clear" w:color="auto" w:fill="CCECFF"/>
      <w:ind w:left="2835"/>
      <w:outlineLvl w:val="6"/>
    </w:pPr>
  </w:style>
  <w:style w:type="paragraph" w:customStyle="1" w:styleId="OPM-level5">
    <w:name w:val="OPM - level 5"/>
    <w:basedOn w:val="OPM-level4"/>
    <w:rsid w:val="00335DFD"/>
    <w:pPr>
      <w:shd w:val="clear" w:color="auto" w:fill="CCFFCC"/>
      <w:ind w:left="3402"/>
      <w:outlineLvl w:val="7"/>
    </w:pPr>
  </w:style>
  <w:style w:type="paragraph" w:customStyle="1" w:styleId="OPM-level6">
    <w:name w:val="OPM - level 6"/>
    <w:basedOn w:val="OPM-level5"/>
    <w:rsid w:val="00335DFD"/>
    <w:pPr>
      <w:shd w:val="clear" w:color="auto" w:fill="FFD9B3"/>
      <w:ind w:left="3969"/>
      <w:outlineLvl w:val="8"/>
    </w:pPr>
  </w:style>
  <w:style w:type="paragraph" w:customStyle="1" w:styleId="OPM-RuleName">
    <w:name w:val="OPM - Rule Name"/>
    <w:basedOn w:val="OPM-Heading3"/>
    <w:next w:val="OPM-conclusion"/>
    <w:rsid w:val="00335DFD"/>
    <w:rPr>
      <w:b w:val="0"/>
      <w:i/>
      <w:sz w:val="16"/>
    </w:rPr>
  </w:style>
  <w:style w:type="paragraph" w:customStyle="1" w:styleId="OPM-ruletype">
    <w:name w:val="OPM - rule type"/>
    <w:basedOn w:val="OPM-Heading3"/>
    <w:rsid w:val="00335DFD"/>
    <w:rPr>
      <w:i/>
    </w:rPr>
  </w:style>
  <w:style w:type="paragraph" w:customStyle="1" w:styleId="OPM-ruletags">
    <w:name w:val="OPM - ruletags"/>
    <w:basedOn w:val="Normal"/>
    <w:qFormat/>
    <w:rsid w:val="00335DFD"/>
    <w:rPr>
      <w:color w:val="808080" w:themeColor="background1" w:themeShade="80"/>
      <w:lang w:val="en-US"/>
    </w:rPr>
  </w:style>
  <w:style w:type="paragraph" w:styleId="TOCHeading">
    <w:name w:val="TOC Heading"/>
    <w:basedOn w:val="Heading1"/>
    <w:next w:val="Normal"/>
    <w:uiPriority w:val="39"/>
    <w:unhideWhenUsed/>
    <w:qFormat/>
    <w:rsid w:val="00CC0ACA"/>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rPr>
  </w:style>
  <w:style w:type="paragraph" w:styleId="TOC1">
    <w:name w:val="toc 1"/>
    <w:basedOn w:val="Normal"/>
    <w:next w:val="Normal"/>
    <w:autoRedefine/>
    <w:uiPriority w:val="39"/>
    <w:unhideWhenUsed/>
    <w:rsid w:val="00CC0ACA"/>
    <w:pPr>
      <w:spacing w:after="100"/>
    </w:pPr>
  </w:style>
  <w:style w:type="paragraph" w:styleId="TOC2">
    <w:name w:val="toc 2"/>
    <w:basedOn w:val="Normal"/>
    <w:next w:val="Normal"/>
    <w:autoRedefine/>
    <w:uiPriority w:val="39"/>
    <w:unhideWhenUsed/>
    <w:rsid w:val="00CC0ACA"/>
    <w:pPr>
      <w:spacing w:after="100"/>
      <w:ind w:left="220"/>
    </w:pPr>
  </w:style>
  <w:style w:type="paragraph" w:styleId="TOC3">
    <w:name w:val="toc 3"/>
    <w:basedOn w:val="Normal"/>
    <w:next w:val="Normal"/>
    <w:autoRedefine/>
    <w:uiPriority w:val="39"/>
    <w:unhideWhenUsed/>
    <w:rsid w:val="00CC0ACA"/>
    <w:pPr>
      <w:spacing w:after="100"/>
      <w:ind w:left="440"/>
    </w:pPr>
  </w:style>
  <w:style w:type="character" w:styleId="Hyperlink">
    <w:name w:val="Hyperlink"/>
    <w:basedOn w:val="DefaultParagraphFont"/>
    <w:uiPriority w:val="99"/>
    <w:unhideWhenUsed/>
    <w:rsid w:val="00CC0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00455">
      <w:bodyDiv w:val="1"/>
      <w:marLeft w:val="0"/>
      <w:marRight w:val="0"/>
      <w:marTop w:val="100"/>
      <w:marBottom w:val="100"/>
      <w:divBdr>
        <w:top w:val="none" w:sz="0" w:space="0" w:color="auto"/>
        <w:left w:val="none" w:sz="0" w:space="0" w:color="auto"/>
        <w:bottom w:val="none" w:sz="0" w:space="0" w:color="auto"/>
        <w:right w:val="none" w:sz="0" w:space="0" w:color="auto"/>
      </w:divBdr>
      <w:divsChild>
        <w:div w:id="141774736">
          <w:marLeft w:val="0"/>
          <w:marRight w:val="0"/>
          <w:marTop w:val="0"/>
          <w:marBottom w:val="0"/>
          <w:divBdr>
            <w:top w:val="none" w:sz="0" w:space="0" w:color="auto"/>
            <w:left w:val="none" w:sz="0" w:space="0" w:color="auto"/>
            <w:bottom w:val="none" w:sz="0" w:space="0" w:color="auto"/>
            <w:right w:val="none" w:sz="0" w:space="0" w:color="auto"/>
          </w:divBdr>
          <w:divsChild>
            <w:div w:id="1780174804">
              <w:marLeft w:val="0"/>
              <w:marRight w:val="0"/>
              <w:marTop w:val="0"/>
              <w:marBottom w:val="0"/>
              <w:divBdr>
                <w:top w:val="none" w:sz="0" w:space="0" w:color="auto"/>
                <w:left w:val="none" w:sz="0" w:space="0" w:color="auto"/>
                <w:bottom w:val="none" w:sz="0" w:space="0" w:color="auto"/>
                <w:right w:val="none" w:sz="0" w:space="0" w:color="auto"/>
              </w:divBdr>
              <w:divsChild>
                <w:div w:id="717824058">
                  <w:marLeft w:val="0"/>
                  <w:marRight w:val="0"/>
                  <w:marTop w:val="0"/>
                  <w:marBottom w:val="0"/>
                  <w:divBdr>
                    <w:top w:val="none" w:sz="0" w:space="0" w:color="auto"/>
                    <w:left w:val="none" w:sz="0" w:space="0" w:color="auto"/>
                    <w:bottom w:val="none" w:sz="0" w:space="0" w:color="auto"/>
                    <w:right w:val="none" w:sz="0" w:space="0" w:color="auto"/>
                  </w:divBdr>
                  <w:divsChild>
                    <w:div w:id="1400051688">
                      <w:marLeft w:val="0"/>
                      <w:marRight w:val="0"/>
                      <w:marTop w:val="0"/>
                      <w:marBottom w:val="0"/>
                      <w:divBdr>
                        <w:top w:val="none" w:sz="0" w:space="0" w:color="auto"/>
                        <w:left w:val="none" w:sz="0" w:space="0" w:color="auto"/>
                        <w:bottom w:val="none" w:sz="0" w:space="0" w:color="auto"/>
                        <w:right w:val="none" w:sz="0" w:space="0" w:color="auto"/>
                      </w:divBdr>
                      <w:divsChild>
                        <w:div w:id="275455180">
                          <w:marLeft w:val="0"/>
                          <w:marRight w:val="0"/>
                          <w:marTop w:val="0"/>
                          <w:marBottom w:val="0"/>
                          <w:divBdr>
                            <w:top w:val="none" w:sz="0" w:space="0" w:color="auto"/>
                            <w:left w:val="none" w:sz="0" w:space="0" w:color="auto"/>
                            <w:bottom w:val="none" w:sz="0" w:space="0" w:color="auto"/>
                            <w:right w:val="none" w:sz="0" w:space="0" w:color="auto"/>
                          </w:divBdr>
                          <w:divsChild>
                            <w:div w:id="1476802214">
                              <w:marLeft w:val="0"/>
                              <w:marRight w:val="0"/>
                              <w:marTop w:val="0"/>
                              <w:marBottom w:val="0"/>
                              <w:divBdr>
                                <w:top w:val="none" w:sz="0" w:space="0" w:color="auto"/>
                                <w:left w:val="none" w:sz="0" w:space="0" w:color="auto"/>
                                <w:bottom w:val="none" w:sz="0" w:space="0" w:color="auto"/>
                                <w:right w:val="none" w:sz="0" w:space="0" w:color="auto"/>
                              </w:divBdr>
                              <w:divsChild>
                                <w:div w:id="558172153">
                                  <w:marLeft w:val="0"/>
                                  <w:marRight w:val="0"/>
                                  <w:marTop w:val="0"/>
                                  <w:marBottom w:val="0"/>
                                  <w:divBdr>
                                    <w:top w:val="none" w:sz="0" w:space="0" w:color="auto"/>
                                    <w:left w:val="none" w:sz="0" w:space="0" w:color="auto"/>
                                    <w:bottom w:val="none" w:sz="0" w:space="0" w:color="auto"/>
                                    <w:right w:val="none" w:sz="0" w:space="0" w:color="auto"/>
                                  </w:divBdr>
                                  <w:divsChild>
                                    <w:div w:id="16719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8C\Templates\Policy%20Modeling%2012.2.12%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C325-39E5-4211-AB30-2BE748801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Modeling 12.2.12 Word Template</Template>
  <TotalTime>325</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Nixon</dc:creator>
  <cp:keywords/>
  <dc:description/>
  <cp:lastModifiedBy>Samuel Nixon</cp:lastModifiedBy>
  <cp:revision>211</cp:revision>
  <dcterms:created xsi:type="dcterms:W3CDTF">2018-11-08T07:50:00Z</dcterms:created>
  <dcterms:modified xsi:type="dcterms:W3CDTF">2018-11-10T06:53:00Z</dcterms:modified>
</cp:coreProperties>
</file>