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9E4E0C">
      <w:pPr>
        <w:pStyle w:val="ListParagraph"/>
        <w:numPr>
          <w:ilvl w:val="0"/>
          <w:numId w:val="14"/>
        </w:numPr>
      </w:pPr>
      <w:r w:rsidRPr="009E4E0C">
        <w:rPr>
          <w:color w:val="0000FF"/>
        </w:rPr>
        <w:t xml:space="preserve">LOWORD(wParam): </w:t>
      </w:r>
      <w:r w:rsidRPr="009E4E0C">
        <w:t>The accelerator ID or menu ID of the command.</w:t>
      </w:r>
    </w:p>
    <w:p w14:paraId="1D6C926E" w14:textId="77777777" w:rsidR="000E0BD6" w:rsidRPr="009E4E0C" w:rsidRDefault="000E0BD6" w:rsidP="009E4E0C">
      <w:pPr>
        <w:pStyle w:val="ListParagraph"/>
        <w:numPr>
          <w:ilvl w:val="0"/>
          <w:numId w:val="14"/>
        </w:numPr>
      </w:pPr>
      <w:r w:rsidRPr="009E4E0C">
        <w:rPr>
          <w:color w:val="0000FF"/>
        </w:rPr>
        <w:t xml:space="preserve">HIWORD(wParam): </w:t>
      </w:r>
      <w:r w:rsidRPr="009E4E0C">
        <w:t>A notification code specific to the command.</w:t>
      </w:r>
    </w:p>
    <w:p w14:paraId="71DFB17F" w14:textId="7D2C3142" w:rsidR="00BA2616" w:rsidRPr="00A90E20" w:rsidRDefault="000E0BD6" w:rsidP="000E0BD6">
      <w:pPr>
        <w:pStyle w:val="ListParagraph"/>
        <w:numPr>
          <w:ilvl w:val="0"/>
          <w:numId w:val="14"/>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2496">
      <w:pPr>
        <w:pStyle w:val="ListParagraph"/>
        <w:numPr>
          <w:ilvl w:val="0"/>
          <w:numId w:val="15"/>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2496">
      <w:pPr>
        <w:pStyle w:val="ListParagraph"/>
        <w:numPr>
          <w:ilvl w:val="0"/>
          <w:numId w:val="15"/>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2496">
      <w:pPr>
        <w:pStyle w:val="ListParagraph"/>
        <w:numPr>
          <w:ilvl w:val="0"/>
          <w:numId w:val="15"/>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907478">
      <w:pPr>
        <w:pStyle w:val="ListParagraph"/>
        <w:numPr>
          <w:ilvl w:val="0"/>
          <w:numId w:val="16"/>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907478">
      <w:pPr>
        <w:pStyle w:val="ListParagraph"/>
        <w:numPr>
          <w:ilvl w:val="0"/>
          <w:numId w:val="16"/>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907478">
      <w:pPr>
        <w:pStyle w:val="ListParagraph"/>
        <w:numPr>
          <w:ilvl w:val="0"/>
          <w:numId w:val="16"/>
        </w:numPr>
      </w:pPr>
      <w:r w:rsidRPr="00907478">
        <w:rPr>
          <w:color w:val="0000FF"/>
        </w:rPr>
        <w:t xml:space="preserve">Child window handles </w:t>
      </w:r>
      <w:r>
        <w:t>identify the specific control associated with a control accelerator.</w:t>
      </w:r>
    </w:p>
    <w:p w14:paraId="33CA690A" w14:textId="4C02487F" w:rsidR="00084E48" w:rsidRDefault="0021792C" w:rsidP="000B2EB5">
      <w:pPr>
        <w:pStyle w:val="ListParagraph"/>
        <w:numPr>
          <w:ilvl w:val="0"/>
          <w:numId w:val="16"/>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50C2F947" w14:textId="77777777" w:rsidR="00C73432" w:rsidRDefault="00C73432" w:rsidP="00C73432"/>
    <w:p w14:paraId="7CACEB49" w14:textId="10CB5904" w:rsidR="00084E48" w:rsidRDefault="00084E48" w:rsidP="000B2EB5"/>
    <w:p w14:paraId="6422ADEA" w14:textId="2176E471" w:rsidR="00084E48" w:rsidRDefault="00084E48" w:rsidP="000B2EB5"/>
    <w:p w14:paraId="6926953F" w14:textId="083875B2" w:rsidR="00084E48" w:rsidRDefault="00084E48" w:rsidP="000B2EB5"/>
    <w:p w14:paraId="7907DF0A" w14:textId="3E04775F" w:rsidR="00084E48" w:rsidRDefault="00084E48" w:rsidP="000B2EB5"/>
    <w:p w14:paraId="4C64515A" w14:textId="3F91BB5E" w:rsidR="00084E48" w:rsidRDefault="00084E48" w:rsidP="000B2EB5"/>
    <w:p w14:paraId="54CDDE89" w14:textId="77777777" w:rsidR="00084E48" w:rsidRPr="00C72259" w:rsidRDefault="00084E48" w:rsidP="000B2EB5"/>
    <w:sectPr w:rsidR="00084E48" w:rsidRPr="00C7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3"/>
  </w:num>
  <w:num w:numId="5">
    <w:abstractNumId w:val="11"/>
  </w:num>
  <w:num w:numId="6">
    <w:abstractNumId w:val="0"/>
  </w:num>
  <w:num w:numId="7">
    <w:abstractNumId w:val="2"/>
  </w:num>
  <w:num w:numId="8">
    <w:abstractNumId w:val="8"/>
  </w:num>
  <w:num w:numId="9">
    <w:abstractNumId w:val="15"/>
  </w:num>
  <w:num w:numId="10">
    <w:abstractNumId w:val="5"/>
  </w:num>
  <w:num w:numId="11">
    <w:abstractNumId w:val="14"/>
  </w:num>
  <w:num w:numId="12">
    <w:abstractNumId w:val="6"/>
  </w:num>
  <w:num w:numId="13">
    <w:abstractNumId w:val="4"/>
  </w:num>
  <w:num w:numId="14">
    <w:abstractNumId w:val="1"/>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60D15"/>
    <w:rsid w:val="00084E48"/>
    <w:rsid w:val="000B2EB5"/>
    <w:rsid w:val="000E0BD6"/>
    <w:rsid w:val="000F72B0"/>
    <w:rsid w:val="00136825"/>
    <w:rsid w:val="001400FB"/>
    <w:rsid w:val="00180278"/>
    <w:rsid w:val="001C16A5"/>
    <w:rsid w:val="001C6A8D"/>
    <w:rsid w:val="001D4F93"/>
    <w:rsid w:val="001E3DBF"/>
    <w:rsid w:val="0021792C"/>
    <w:rsid w:val="00227DFA"/>
    <w:rsid w:val="002309E1"/>
    <w:rsid w:val="0023772A"/>
    <w:rsid w:val="00241F7C"/>
    <w:rsid w:val="002A1AD8"/>
    <w:rsid w:val="002C2D83"/>
    <w:rsid w:val="002D5481"/>
    <w:rsid w:val="002E0816"/>
    <w:rsid w:val="00314F21"/>
    <w:rsid w:val="00361A07"/>
    <w:rsid w:val="00380818"/>
    <w:rsid w:val="003D1AE2"/>
    <w:rsid w:val="003D51F9"/>
    <w:rsid w:val="00430D69"/>
    <w:rsid w:val="004324E8"/>
    <w:rsid w:val="0046602E"/>
    <w:rsid w:val="0047284D"/>
    <w:rsid w:val="00473A3C"/>
    <w:rsid w:val="004B520B"/>
    <w:rsid w:val="004B7497"/>
    <w:rsid w:val="005518D6"/>
    <w:rsid w:val="005757DE"/>
    <w:rsid w:val="005825A2"/>
    <w:rsid w:val="00624DC0"/>
    <w:rsid w:val="00653B02"/>
    <w:rsid w:val="00663D67"/>
    <w:rsid w:val="00666B0D"/>
    <w:rsid w:val="006B24C9"/>
    <w:rsid w:val="006F570A"/>
    <w:rsid w:val="00721182"/>
    <w:rsid w:val="007555F4"/>
    <w:rsid w:val="007D7784"/>
    <w:rsid w:val="008108CB"/>
    <w:rsid w:val="008160F7"/>
    <w:rsid w:val="0084097B"/>
    <w:rsid w:val="00842251"/>
    <w:rsid w:val="008835EC"/>
    <w:rsid w:val="008A1970"/>
    <w:rsid w:val="008A73D5"/>
    <w:rsid w:val="008E6184"/>
    <w:rsid w:val="008E6D7B"/>
    <w:rsid w:val="00904335"/>
    <w:rsid w:val="00907478"/>
    <w:rsid w:val="0095181D"/>
    <w:rsid w:val="00956A56"/>
    <w:rsid w:val="00987583"/>
    <w:rsid w:val="00996ED2"/>
    <w:rsid w:val="009C5D4A"/>
    <w:rsid w:val="009E4E0C"/>
    <w:rsid w:val="00A27C8E"/>
    <w:rsid w:val="00A66CC9"/>
    <w:rsid w:val="00A90E20"/>
    <w:rsid w:val="00AB2A4B"/>
    <w:rsid w:val="00AE5528"/>
    <w:rsid w:val="00AF6610"/>
    <w:rsid w:val="00B042EF"/>
    <w:rsid w:val="00B21A77"/>
    <w:rsid w:val="00B638F6"/>
    <w:rsid w:val="00B93033"/>
    <w:rsid w:val="00BA021A"/>
    <w:rsid w:val="00BA2616"/>
    <w:rsid w:val="00BC5ECE"/>
    <w:rsid w:val="00BE6647"/>
    <w:rsid w:val="00BF39B9"/>
    <w:rsid w:val="00BF469F"/>
    <w:rsid w:val="00C72259"/>
    <w:rsid w:val="00C73432"/>
    <w:rsid w:val="00C970C9"/>
    <w:rsid w:val="00CD6E33"/>
    <w:rsid w:val="00D00809"/>
    <w:rsid w:val="00DA4996"/>
    <w:rsid w:val="00DB4E74"/>
    <w:rsid w:val="00E12496"/>
    <w:rsid w:val="00E20F16"/>
    <w:rsid w:val="00E45A4F"/>
    <w:rsid w:val="00E5747F"/>
    <w:rsid w:val="00E8330D"/>
    <w:rsid w:val="00EA37E6"/>
    <w:rsid w:val="00ED1CD0"/>
    <w:rsid w:val="00F36FF0"/>
    <w:rsid w:val="00F81E61"/>
    <w:rsid w:val="00FA41D4"/>
    <w:rsid w:val="00FE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95</cp:revision>
  <dcterms:created xsi:type="dcterms:W3CDTF">2023-11-28T07:47:00Z</dcterms:created>
  <dcterms:modified xsi:type="dcterms:W3CDTF">2023-11-28T08:30:00Z</dcterms:modified>
</cp:coreProperties>
</file>