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INTELLICREDIT</w:t>
      </w:r>
    </w:p>
    <w:p>
      <w:pPr>
        <w:jc w:val="center"/>
      </w:pPr>
      <w:r>
        <w:rPr>
          <w:rFonts w:ascii="Arial" w:hAnsi="Arial"/>
          <w:color w:val="4C5068"/>
          <w:sz w:val="18"/>
        </w:rPr>
        <w:t>AI-Powered Credit Intelligence Engine</w:t>
      </w:r>
    </w:p>
    <w:p/>
    <w:p>
      <w:pPr>
        <w:jc w:val="center"/>
      </w:pPr>
      <w:r>
        <w:rPr>
          <w:rFonts w:ascii="Arial" w:hAnsi="Arial"/>
          <w:b/>
          <w:color w:val="0D1F5C"/>
          <w:sz w:val="34"/>
        </w:rPr>
        <w:t>INVESTMENT ASSESSMENT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Tata Capital Limited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CIN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PAN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AAACT2727Q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27AAACT2727Q1ZW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Sector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Type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Amount Requested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— Cr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Tenure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— months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CONDITIONAL APPROVAL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0.350 / 1.000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41,250,000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11.30% p.a.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CAM/2026/TATA/03151522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15 March 2026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p>
      <w:r>
        <w:br w:type="page"/>
      </w:r>
    </w:p>
    <w:p>
      <w:pPr>
        <w:spacing w:before="200" w:after="8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0"/>
        </w:rPr>
        <w:t>SECTION 1 — EXECUTIVE SUMMARY &amp; FINANCIAL ANALYSIS</w:t>
      </w:r>
    </w:p>
    <w:p>
      <w:r>
        <w:rPr>
          <w:rFonts w:ascii="Arial" w:hAnsi="Arial"/>
          <w:b/>
          <w:sz w:val="18"/>
        </w:rPr>
        <w:t>Decisive Factor: The significant ITC discrepancy initially raised concerns, but additional documentation revealed a lower variance due to timing differences, which reduces the 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D/E Ratio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1.16x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Worth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20,558,970,000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DSCR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1.10x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Profit Margin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11.8%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Avg Monthly Bal.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11,850,000,000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70%</w:t>
            </w:r>
          </w:p>
        </w:tc>
      </w:tr>
    </w:tbl>
    <w:p/>
    <w:p>
      <w:pPr>
        <w:spacing w:before="200" w:after="8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0"/>
        </w:rPr>
        <w:t>SECTION 2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249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249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24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6.5/10</w:t>
            </w:r>
          </w:p>
        </w:tc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Good character with minor concerns. Monitor regularly.</w:t>
            </w:r>
          </w:p>
        </w:tc>
      </w:tr>
      <w:tr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24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8.5/10</w:t>
            </w:r>
          </w:p>
        </w:tc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Excellent repayment capacity. Strong and consistent cash flows.</w:t>
            </w:r>
          </w:p>
        </w:tc>
      </w:tr>
      <w:tr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24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9.5/10</w:t>
            </w:r>
          </w:p>
        </w:tc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Strong capital base. Well-capitalized with low leverage.</w:t>
            </w:r>
          </w:p>
        </w:tc>
      </w:tr>
      <w:tr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24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24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249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249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7.67/10</w:t>
            </w:r>
          </w:p>
        </w:tc>
        <w:tc>
          <w:tcPr>
            <w:tcW w:type="dxa" w:w="3249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00" w:after="8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0"/>
        </w:rPr>
        <w:t>SECTION 3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249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249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24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2.5242</w:t>
            </w:r>
          </w:p>
        </w:tc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increases risk</w:t>
            </w:r>
          </w:p>
        </w:tc>
      </w:tr>
      <w:tr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24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1.5597</w:t>
            </w:r>
          </w:p>
        </w:tc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24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1.5174</w:t>
            </w:r>
          </w:p>
        </w:tc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24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1.2836</w:t>
            </w:r>
          </w:p>
        </w:tc>
        <w:tc>
          <w:tcPr>
            <w:tcW w:type="dxa" w:w="324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increases risk</w:t>
            </w:r>
          </w:p>
        </w:tc>
      </w:tr>
    </w:tbl>
    <w:p/>
    <w:p>
      <w:pPr>
        <w:spacing w:before="200" w:after="8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0"/>
        </w:rPr>
        <w:t>SECTION 4 — SWOT ANALYSIS</w:t>
      </w:r>
    </w:p>
    <w:p>
      <w:r>
        <w:t>SWOT analysis not available.</w:t>
      </w:r>
    </w:p>
    <w:p/>
    <w:p>
      <w:pPr>
        <w:spacing w:before="200" w:after="8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0"/>
        </w:rPr>
        <w:t>SECTION 5 — EXTERNAL RESEARCH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News Risk Score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0.0/10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Negative News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Litigation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MCA Charges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</w:tr>
    </w:tbl>
    <w:p>
      <w:r>
        <w:t>Found 1 articles: 0 negative, 1 positive. News risk score: 0.0/10. No litigation found. No MCA charges. No RBI/SEBI actions.</w:t>
      </w:r>
    </w:p>
    <w:p/>
    <w:p>
      <w:pPr>
        <w:spacing w:before="200" w:after="8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0"/>
        </w:rPr>
        <w:t>SECTION 6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87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487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ITC reconciliation variance</w:t>
            </w:r>
          </w:p>
        </w:tc>
        <w:tc>
          <w:tcPr>
            <w:tcW w:type="dxa" w:w="487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87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Dependence on supplier reconciliation for ITC claims</w:t>
            </w:r>
          </w:p>
        </w:tc>
        <w:tc>
          <w:tcPr>
            <w:tcW w:type="dxa" w:w="487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87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Potential impact of timing differences on financial statements</w:t>
            </w:r>
          </w:p>
        </w:tc>
        <w:tc>
          <w:tcPr>
            <w:tcW w:type="dxa" w:w="487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00" w:after="8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0"/>
        </w:rPr>
        <w:t>SECTION 7 —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Borrower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Tata Capital Limited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Sanctioned Limit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41,250,000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11.30% p.a.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Primary Security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Hypothecation of current assets</w:t>
            </w:r>
          </w:p>
        </w:tc>
      </w:tr>
      <w:tr>
        <w:tc>
          <w:tcPr>
            <w:tcW w:type="dxa" w:w="2268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Processing Fee</w:t>
            </w:r>
          </w:p>
        </w:tc>
        <w:tc>
          <w:tcPr>
            <w:tcW w:type="dxa" w:w="5386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0.50% + GST</w:t>
            </w:r>
          </w:p>
        </w:tc>
      </w:tr>
    </w:tbl>
    <w:p>
      <w:r>
        <w:rPr>
          <w:rFonts w:ascii="Arial" w:hAnsi="Arial"/>
          <w:b/>
          <w:color w:val="B85C00"/>
          <w:sz w:val="24"/>
        </w:rPr>
        <w:t>DECISION: CONDITIONAL APPROVAL</w:t>
      </w:r>
    </w:p>
    <w:p>
      <w:r>
        <w:rPr>
          <w:rFonts w:ascii="Arial" w:hAnsi="Arial"/>
          <w:sz w:val="18"/>
        </w:rPr>
        <w:t>Decisive Factor: The significant ITC discrepancy initially raised concerns, but additional documentation revealed a lower variance due to timing differences, which reduces the risk.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4"/>
      </w:rPr>
      <w:t>Ref: CAM/2026/TATA/03151522  |  IntelliCredit  |  STRICTLY CONFIDENTIAL  |  15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