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color w:val="0D1F5C"/>
          <w:sz w:val="28"/>
        </w:rPr>
        <w:t>INTELLICREDIT</w:t>
      </w:r>
    </w:p>
    <w:p>
      <w:pPr>
        <w:jc w:val="center"/>
      </w:pPr>
      <w:r>
        <w:rPr>
          <w:rFonts w:ascii="Arial" w:hAnsi="Arial"/>
          <w:color w:val="4C5068"/>
          <w:sz w:val="18"/>
        </w:rPr>
        <w:t>AI-Powered Credit Intelligence Engine</w:t>
      </w:r>
    </w:p>
    <w:p/>
    <w:p>
      <w:pPr>
        <w:jc w:val="center"/>
      </w:pPr>
      <w:r>
        <w:rPr>
          <w:rFonts w:ascii="Arial" w:hAnsi="Arial"/>
          <w:b/>
          <w:color w:val="0D1F5C"/>
          <w:sz w:val="34"/>
        </w:rPr>
        <w:t>INVESTMENT ASSESSMENT REPORT</w:t>
      </w:r>
    </w:p>
    <w:p/>
    <w:tbl>
      <w:tblPr>
        <w:tblStyle w:val="TableGrid"/>
        <w:tblW w:type="auto" w:w="0"/>
        <w:tblLook w:firstColumn="1" w:firstRow="1" w:lastColumn="0" w:lastRow="0" w:noHBand="0" w:noVBand="1" w:val="04A0"/>
      </w:tblPr>
      <w:tblGrid>
        <w:gridCol w:w="4873"/>
        <w:gridCol w:w="4873"/>
      </w:tblGrid>
      <w:tr>
        <w:tc>
          <w:tcPr>
            <w:tcW w:type="dxa" w:w="2268"/>
            <w:shd w:fill="e8edf8" w:val="clear" w:color="auto"/>
          </w:tcPr>
          <w:p>
            <w:pPr>
              <w:spacing w:before="0" w:after="0"/>
              <w:jc w:val="left"/>
            </w:pPr>
            <w:r>
              <w:rPr>
                <w:rFonts w:ascii="Arial" w:hAnsi="Arial"/>
                <w:b/>
                <w:sz w:val="18"/>
              </w:rPr>
              <w:t>Company / Borrower</w:t>
            </w:r>
          </w:p>
        </w:tc>
        <w:tc>
          <w:tcPr>
            <w:tcW w:type="dxa" w:w="5386"/>
          </w:tcPr>
          <w:p>
            <w:pPr>
              <w:spacing w:before="0" w:after="0"/>
              <w:jc w:val="left"/>
            </w:pPr>
            <w:r>
              <w:rPr>
                <w:rFonts w:ascii="Arial" w:hAnsi="Arial"/>
                <w:b w:val="0"/>
                <w:sz w:val="18"/>
              </w:rPr>
              <w:t>Lakme</w:t>
            </w:r>
          </w:p>
        </w:tc>
      </w:tr>
      <w:tr>
        <w:tc>
          <w:tcPr>
            <w:tcW w:type="dxa" w:w="2268"/>
            <w:shd w:fill="e8edf8" w:val="clear" w:color="auto"/>
          </w:tcPr>
          <w:p>
            <w:pPr>
              <w:spacing w:before="0" w:after="0"/>
              <w:jc w:val="left"/>
            </w:pPr>
            <w:r>
              <w:rPr>
                <w:rFonts w:ascii="Arial" w:hAnsi="Arial"/>
                <w:b/>
                <w:sz w:val="18"/>
              </w:rPr>
              <w:t>CIN</w:t>
            </w:r>
          </w:p>
        </w:tc>
        <w:tc>
          <w:tcPr>
            <w:tcW w:type="dxa" w:w="5386"/>
          </w:tcPr>
          <w:p>
            <w:pPr>
              <w:spacing w:before="0" w:after="0"/>
              <w:jc w:val="left"/>
            </w:pPr>
            <w:r>
              <w:rPr>
                <w:rFonts w:ascii="Arial" w:hAnsi="Arial"/>
                <w:b w:val="0"/>
                <w:sz w:val="18"/>
              </w:rPr>
              <w:t>None</w:t>
            </w:r>
          </w:p>
        </w:tc>
      </w:tr>
      <w:tr>
        <w:tc>
          <w:tcPr>
            <w:tcW w:type="dxa" w:w="2268"/>
            <w:shd w:fill="e8edf8" w:val="clear" w:color="auto"/>
          </w:tcPr>
          <w:p>
            <w:pPr>
              <w:spacing w:before="0" w:after="0"/>
              <w:jc w:val="left"/>
            </w:pPr>
            <w:r>
              <w:rPr>
                <w:rFonts w:ascii="Arial" w:hAnsi="Arial"/>
                <w:b/>
                <w:sz w:val="18"/>
              </w:rPr>
              <w:t>PAN</w:t>
            </w:r>
          </w:p>
        </w:tc>
        <w:tc>
          <w:tcPr>
            <w:tcW w:type="dxa" w:w="5386"/>
          </w:tcPr>
          <w:p>
            <w:pPr>
              <w:spacing w:before="0" w:after="0"/>
              <w:jc w:val="left"/>
            </w:pPr>
            <w:r>
              <w:rPr>
                <w:rFonts w:ascii="Arial" w:hAnsi="Arial"/>
                <w:b w:val="0"/>
                <w:sz w:val="18"/>
              </w:rPr>
              <w:t>AABCL2345M</w:t>
            </w:r>
          </w:p>
        </w:tc>
      </w:tr>
      <w:tr>
        <w:tc>
          <w:tcPr>
            <w:tcW w:type="dxa" w:w="2268"/>
            <w:shd w:fill="e8edf8" w:val="clear" w:color="auto"/>
          </w:tcPr>
          <w:p>
            <w:pPr>
              <w:spacing w:before="0" w:after="0"/>
              <w:jc w:val="left"/>
            </w:pPr>
            <w:r>
              <w:rPr>
                <w:rFonts w:ascii="Arial" w:hAnsi="Arial"/>
                <w:b/>
                <w:sz w:val="18"/>
              </w:rPr>
              <w:t>GSTIN</w:t>
            </w:r>
          </w:p>
        </w:tc>
        <w:tc>
          <w:tcPr>
            <w:tcW w:type="dxa" w:w="5386"/>
          </w:tcPr>
          <w:p>
            <w:pPr>
              <w:spacing w:before="0" w:after="0"/>
              <w:jc w:val="left"/>
            </w:pPr>
            <w:r>
              <w:rPr>
                <w:rFonts w:ascii="Arial" w:hAnsi="Arial"/>
                <w:b w:val="0"/>
                <w:sz w:val="18"/>
              </w:rPr>
              <w:t>27AABCL9876R1ZX</w:t>
            </w:r>
          </w:p>
        </w:tc>
      </w:tr>
      <w:tr>
        <w:tc>
          <w:tcPr>
            <w:tcW w:type="dxa" w:w="2268"/>
            <w:shd w:fill="e8edf8" w:val="clear" w:color="auto"/>
          </w:tcPr>
          <w:p>
            <w:pPr>
              <w:spacing w:before="0" w:after="0"/>
              <w:jc w:val="left"/>
            </w:pPr>
            <w:r>
              <w:rPr>
                <w:rFonts w:ascii="Arial" w:hAnsi="Arial"/>
                <w:b/>
                <w:sz w:val="18"/>
              </w:rPr>
              <w:t>Sector</w:t>
            </w:r>
          </w:p>
        </w:tc>
        <w:tc>
          <w:tcPr>
            <w:tcW w:type="dxa" w:w="5386"/>
          </w:tcPr>
          <w:p>
            <w:pPr>
              <w:spacing w:before="0" w:after="0"/>
              <w:jc w:val="left"/>
            </w:pPr>
            <w:r>
              <w:rPr>
                <w:rFonts w:ascii="Arial" w:hAnsi="Arial"/>
                <w:b w:val="0"/>
                <w:sz w:val="18"/>
              </w:rPr>
              <w:t>None</w:t>
            </w:r>
          </w:p>
        </w:tc>
      </w:tr>
      <w:tr>
        <w:tc>
          <w:tcPr>
            <w:tcW w:type="dxa" w:w="2268"/>
            <w:shd w:fill="e8edf8" w:val="clear" w:color="auto"/>
          </w:tcPr>
          <w:p>
            <w:pPr>
              <w:spacing w:before="0" w:after="0"/>
              <w:jc w:val="left"/>
            </w:pPr>
            <w:r>
              <w:rPr>
                <w:rFonts w:ascii="Arial" w:hAnsi="Arial"/>
                <w:b/>
                <w:sz w:val="18"/>
              </w:rPr>
              <w:t>Loan Type</w:t>
            </w:r>
          </w:p>
        </w:tc>
        <w:tc>
          <w:tcPr>
            <w:tcW w:type="dxa" w:w="5386"/>
          </w:tcPr>
          <w:p>
            <w:pPr>
              <w:spacing w:before="0" w:after="0"/>
              <w:jc w:val="left"/>
            </w:pPr>
            <w:r>
              <w:rPr>
                <w:rFonts w:ascii="Arial" w:hAnsi="Arial"/>
                <w:b w:val="0"/>
                <w:sz w:val="18"/>
              </w:rPr>
              <w:t>None</w:t>
            </w:r>
          </w:p>
        </w:tc>
      </w:tr>
      <w:tr>
        <w:tc>
          <w:tcPr>
            <w:tcW w:type="dxa" w:w="2268"/>
            <w:shd w:fill="e8edf8" w:val="clear" w:color="auto"/>
          </w:tcPr>
          <w:p>
            <w:pPr>
              <w:spacing w:before="0" w:after="0"/>
              <w:jc w:val="left"/>
            </w:pPr>
            <w:r>
              <w:rPr>
                <w:rFonts w:ascii="Arial" w:hAnsi="Arial"/>
                <w:b/>
                <w:sz w:val="18"/>
              </w:rPr>
              <w:t>Amount Requested</w:t>
            </w:r>
          </w:p>
        </w:tc>
        <w:tc>
          <w:tcPr>
            <w:tcW w:type="dxa" w:w="5386"/>
          </w:tcPr>
          <w:p>
            <w:pPr>
              <w:spacing w:before="0" w:after="0"/>
              <w:jc w:val="left"/>
            </w:pPr>
            <w:r>
              <w:rPr>
                <w:rFonts w:ascii="Arial" w:hAnsi="Arial"/>
                <w:b w:val="0"/>
                <w:sz w:val="18"/>
              </w:rPr>
              <w:t>Rs. None Cr</w:t>
            </w:r>
          </w:p>
        </w:tc>
      </w:tr>
      <w:tr>
        <w:tc>
          <w:tcPr>
            <w:tcW w:type="dxa" w:w="2268"/>
            <w:shd w:fill="e8edf8" w:val="clear" w:color="auto"/>
          </w:tcPr>
          <w:p>
            <w:pPr>
              <w:spacing w:before="0" w:after="0"/>
              <w:jc w:val="left"/>
            </w:pPr>
            <w:r>
              <w:rPr>
                <w:rFonts w:ascii="Arial" w:hAnsi="Arial"/>
                <w:b/>
                <w:sz w:val="18"/>
              </w:rPr>
              <w:t>Tenure</w:t>
            </w:r>
          </w:p>
        </w:tc>
        <w:tc>
          <w:tcPr>
            <w:tcW w:type="dxa" w:w="5386"/>
          </w:tcPr>
          <w:p>
            <w:pPr>
              <w:spacing w:before="0" w:after="0"/>
              <w:jc w:val="left"/>
            </w:pPr>
            <w:r>
              <w:rPr>
                <w:rFonts w:ascii="Arial" w:hAnsi="Arial"/>
                <w:b w:val="0"/>
                <w:sz w:val="18"/>
              </w:rPr>
              <w:t>None months</w:t>
            </w:r>
          </w:p>
        </w:tc>
      </w:tr>
      <w:tr>
        <w:tc>
          <w:tcPr>
            <w:tcW w:type="dxa" w:w="2268"/>
            <w:shd w:fill="e8edf8" w:val="clear" w:color="auto"/>
          </w:tcPr>
          <w:p>
            <w:pPr>
              <w:spacing w:before="0" w:after="0"/>
              <w:jc w:val="left"/>
            </w:pPr>
            <w:r>
              <w:rPr>
                <w:rFonts w:ascii="Arial" w:hAnsi="Arial"/>
                <w:b/>
                <w:sz w:val="18"/>
              </w:rPr>
              <w:t>AI Decision</w:t>
            </w:r>
          </w:p>
        </w:tc>
        <w:tc>
          <w:tcPr>
            <w:tcW w:type="dxa" w:w="5386"/>
          </w:tcPr>
          <w:p>
            <w:pPr>
              <w:spacing w:before="0" w:after="0"/>
              <w:jc w:val="left"/>
            </w:pPr>
            <w:r>
              <w:rPr>
                <w:rFonts w:ascii="Arial" w:hAnsi="Arial"/>
                <w:b w:val="0"/>
                <w:sz w:val="18"/>
              </w:rPr>
              <w:t>APPROVED</w:t>
            </w:r>
          </w:p>
        </w:tc>
      </w:tr>
      <w:tr>
        <w:tc>
          <w:tcPr>
            <w:tcW w:type="dxa" w:w="2268"/>
            <w:shd w:fill="e8edf8" w:val="clear" w:color="auto"/>
          </w:tcPr>
          <w:p>
            <w:pPr>
              <w:spacing w:before="0" w:after="0"/>
              <w:jc w:val="left"/>
            </w:pPr>
            <w:r>
              <w:rPr>
                <w:rFonts w:ascii="Arial" w:hAnsi="Arial"/>
                <w:b/>
                <w:sz w:val="18"/>
              </w:rPr>
              <w:t>Risk Score</w:t>
            </w:r>
          </w:p>
        </w:tc>
        <w:tc>
          <w:tcPr>
            <w:tcW w:type="dxa" w:w="5386"/>
          </w:tcPr>
          <w:p>
            <w:pPr>
              <w:spacing w:before="0" w:after="0"/>
              <w:jc w:val="left"/>
            </w:pPr>
            <w:r>
              <w:rPr>
                <w:rFonts w:ascii="Arial" w:hAnsi="Arial"/>
                <w:b w:val="0"/>
                <w:sz w:val="18"/>
              </w:rPr>
              <w:t>0.154 / 1.000</w:t>
            </w:r>
          </w:p>
        </w:tc>
      </w:tr>
      <w:tr>
        <w:tc>
          <w:tcPr>
            <w:tcW w:type="dxa" w:w="2268"/>
            <w:shd w:fill="e8edf8" w:val="clear" w:color="auto"/>
          </w:tcPr>
          <w:p>
            <w:pPr>
              <w:spacing w:before="0" w:after="0"/>
              <w:jc w:val="left"/>
            </w:pPr>
            <w:r>
              <w:rPr>
                <w:rFonts w:ascii="Arial" w:hAnsi="Arial"/>
                <w:b/>
                <w:sz w:val="18"/>
              </w:rPr>
              <w:t>Loan Limit</w:t>
            </w:r>
          </w:p>
        </w:tc>
        <w:tc>
          <w:tcPr>
            <w:tcW w:type="dxa" w:w="5386"/>
          </w:tcPr>
          <w:p>
            <w:pPr>
              <w:spacing w:before="0" w:after="0"/>
              <w:jc w:val="left"/>
            </w:pPr>
            <w:r>
              <w:rPr>
                <w:rFonts w:ascii="Arial" w:hAnsi="Arial"/>
                <w:b w:val="0"/>
                <w:sz w:val="18"/>
              </w:rPr>
              <w:t>Rs. 2,307,250</w:t>
            </w:r>
          </w:p>
        </w:tc>
      </w:tr>
      <w:tr>
        <w:tc>
          <w:tcPr>
            <w:tcW w:type="dxa" w:w="2268"/>
            <w:shd w:fill="e8edf8" w:val="clear" w:color="auto"/>
          </w:tcPr>
          <w:p>
            <w:pPr>
              <w:spacing w:before="0" w:after="0"/>
              <w:jc w:val="left"/>
            </w:pPr>
            <w:r>
              <w:rPr>
                <w:rFonts w:ascii="Arial" w:hAnsi="Arial"/>
                <w:b/>
                <w:sz w:val="18"/>
              </w:rPr>
              <w:t>Interest Rate</w:t>
            </w:r>
          </w:p>
        </w:tc>
        <w:tc>
          <w:tcPr>
            <w:tcW w:type="dxa" w:w="5386"/>
          </w:tcPr>
          <w:p>
            <w:pPr>
              <w:spacing w:before="0" w:after="0"/>
              <w:jc w:val="left"/>
            </w:pPr>
            <w:r>
              <w:rPr>
                <w:rFonts w:ascii="Arial" w:hAnsi="Arial"/>
                <w:b w:val="0"/>
                <w:sz w:val="18"/>
              </w:rPr>
              <w:t>9.73% p.a.</w:t>
            </w:r>
          </w:p>
        </w:tc>
      </w:tr>
      <w:tr>
        <w:tc>
          <w:tcPr>
            <w:tcW w:type="dxa" w:w="2268"/>
            <w:shd w:fill="e8edf8" w:val="clear" w:color="auto"/>
          </w:tcPr>
          <w:p>
            <w:pPr>
              <w:spacing w:before="0" w:after="0"/>
              <w:jc w:val="left"/>
            </w:pPr>
            <w:r>
              <w:rPr>
                <w:rFonts w:ascii="Arial" w:hAnsi="Arial"/>
                <w:b/>
                <w:sz w:val="18"/>
              </w:rPr>
              <w:t>Reference No.</w:t>
            </w:r>
          </w:p>
        </w:tc>
        <w:tc>
          <w:tcPr>
            <w:tcW w:type="dxa" w:w="5386"/>
          </w:tcPr>
          <w:p>
            <w:pPr>
              <w:spacing w:before="0" w:after="0"/>
              <w:jc w:val="left"/>
            </w:pPr>
            <w:r>
              <w:rPr>
                <w:rFonts w:ascii="Arial" w:hAnsi="Arial"/>
                <w:b w:val="0"/>
                <w:sz w:val="18"/>
              </w:rPr>
              <w:t>CAM/2026/LAKM/08052336</w:t>
            </w:r>
          </w:p>
        </w:tc>
      </w:tr>
      <w:tr>
        <w:tc>
          <w:tcPr>
            <w:tcW w:type="dxa" w:w="2268"/>
            <w:shd w:fill="e8edf8" w:val="clear" w:color="auto"/>
          </w:tcPr>
          <w:p>
            <w:pPr>
              <w:spacing w:before="0" w:after="0"/>
              <w:jc w:val="left"/>
            </w:pPr>
            <w:r>
              <w:rPr>
                <w:rFonts w:ascii="Arial" w:hAnsi="Arial"/>
                <w:b/>
                <w:sz w:val="18"/>
              </w:rPr>
              <w:t>Report Date</w:t>
            </w:r>
          </w:p>
        </w:tc>
        <w:tc>
          <w:tcPr>
            <w:tcW w:type="dxa" w:w="5386"/>
          </w:tcPr>
          <w:p>
            <w:pPr>
              <w:spacing w:before="0" w:after="0"/>
              <w:jc w:val="left"/>
            </w:pPr>
            <w:r>
              <w:rPr>
                <w:rFonts w:ascii="Arial" w:hAnsi="Arial"/>
                <w:b w:val="0"/>
                <w:sz w:val="18"/>
              </w:rPr>
              <w:t>05 August 2026</w:t>
            </w:r>
          </w:p>
        </w:tc>
      </w:tr>
      <w:tr>
        <w:tc>
          <w:tcPr>
            <w:tcW w:type="dxa" w:w="2268"/>
            <w:shd w:fill="e8edf8" w:val="clear" w:color="auto"/>
          </w:tcPr>
          <w:p>
            <w:pPr>
              <w:spacing w:before="0" w:after="0"/>
              <w:jc w:val="left"/>
            </w:pPr>
            <w:r>
              <w:rPr>
                <w:rFonts w:ascii="Arial" w:hAnsi="Arial"/>
                <w:b/>
                <w:sz w:val="18"/>
              </w:rPr>
              <w:t>Prepared By</w:t>
            </w:r>
          </w:p>
        </w:tc>
        <w:tc>
          <w:tcPr>
            <w:tcW w:type="dxa" w:w="5386"/>
          </w:tcPr>
          <w:p>
            <w:pPr>
              <w:spacing w:before="0" w:after="0"/>
              <w:jc w:val="left"/>
            </w:pPr>
            <w:r>
              <w:rPr>
                <w:rFonts w:ascii="Arial" w:hAnsi="Arial"/>
                <w:b w:val="0"/>
                <w:sz w:val="18"/>
              </w:rPr>
              <w:t>Intelli-Credit AI Engine</w:t>
            </w:r>
          </w:p>
        </w:tc>
      </w:tr>
      <w:tr>
        <w:tc>
          <w:tcPr>
            <w:tcW w:type="dxa" w:w="2268"/>
            <w:shd w:fill="e8edf8" w:val="clear" w:color="auto"/>
          </w:tcPr>
          <w:p>
            <w:pPr>
              <w:spacing w:before="0" w:after="0"/>
              <w:jc w:val="left"/>
            </w:pPr>
            <w:r>
              <w:rPr>
                <w:rFonts w:ascii="Arial" w:hAnsi="Arial"/>
                <w:b/>
                <w:sz w:val="18"/>
              </w:rPr>
              <w:t>Classification</w:t>
            </w:r>
          </w:p>
        </w:tc>
        <w:tc>
          <w:tcPr>
            <w:tcW w:type="dxa" w:w="5386"/>
          </w:tcPr>
          <w:p>
            <w:pPr>
              <w:spacing w:before="0" w:after="0"/>
              <w:jc w:val="left"/>
            </w:pPr>
            <w:r>
              <w:rPr>
                <w:rFonts w:ascii="Arial" w:hAnsi="Arial"/>
                <w:b w:val="0"/>
                <w:sz w:val="18"/>
              </w:rPr>
              <w:t>STRICTLY CONFIDENTIAL</w:t>
            </w:r>
          </w:p>
        </w:tc>
      </w:tr>
    </w:tbl>
    <w:p/>
    <w:p>
      <w:r>
        <w:br w:type="page"/>
      </w:r>
    </w:p>
    <w:p>
      <w:pPr>
        <w:spacing w:before="200" w:after="80"/>
        <w:pBdr>
          <w:left w:val="single" w:sz="18" w:space="6" w:color="0d1f5c"/>
        </w:pBdr>
      </w:pPr>
      <w:r>
        <w:rPr>
          <w:rFonts w:ascii="Arial" w:hAnsi="Arial"/>
          <w:b/>
          <w:color w:val="1A3080"/>
          <w:sz w:val="20"/>
        </w:rPr>
        <w:t>SECTION 1 — EXECUTIVE SUMMARY &amp; FINANCIAL ANALYSIS</w:t>
      </w:r>
    </w:p>
    <w:p>
      <w:r>
        <w:rPr>
          <w:rFonts w:ascii="Arial" w:hAnsi="Arial"/>
          <w:b/>
          <w:sz w:val="18"/>
        </w:rPr>
        <w:t>Decisive Factor: Conditional approval pending verification of GST reconciliation.</w:t>
      </w:r>
    </w:p>
    <w:tbl>
      <w:tblPr>
        <w:tblStyle w:val="TableGrid"/>
        <w:tblW w:type="auto" w:w="0"/>
        <w:tblLook w:firstColumn="1" w:firstRow="1" w:lastColumn="0" w:lastRow="0" w:noHBand="0" w:noVBand="1" w:val="04A0"/>
      </w:tblPr>
      <w:tblGrid>
        <w:gridCol w:w="4873"/>
        <w:gridCol w:w="4873"/>
      </w:tblGrid>
      <w:tr>
        <w:tc>
          <w:tcPr>
            <w:tcW w:type="dxa" w:w="2268"/>
            <w:shd w:fill="e8edf8" w:val="clear" w:color="auto"/>
          </w:tcPr>
          <w:p>
            <w:pPr>
              <w:spacing w:before="0" w:after="0"/>
              <w:jc w:val="left"/>
            </w:pPr>
            <w:r>
              <w:rPr>
                <w:rFonts w:ascii="Arial" w:hAnsi="Arial"/>
                <w:b/>
                <w:sz w:val="18"/>
              </w:rPr>
              <w:t>D/E Ratio</w:t>
            </w:r>
          </w:p>
        </w:tc>
        <w:tc>
          <w:tcPr>
            <w:tcW w:type="dxa" w:w="5386"/>
          </w:tcPr>
          <w:p>
            <w:pPr>
              <w:spacing w:before="0" w:after="0"/>
              <w:jc w:val="left"/>
            </w:pPr>
            <w:r>
              <w:rPr>
                <w:rFonts w:ascii="Arial" w:hAnsi="Arial"/>
                <w:b w:val="0"/>
                <w:sz w:val="18"/>
              </w:rPr>
              <w:t>0.54x</w:t>
            </w:r>
          </w:p>
        </w:tc>
      </w:tr>
      <w:tr>
        <w:tc>
          <w:tcPr>
            <w:tcW w:type="dxa" w:w="2268"/>
            <w:shd w:fill="e8edf8" w:val="clear" w:color="auto"/>
          </w:tcPr>
          <w:p>
            <w:pPr>
              <w:spacing w:before="0" w:after="0"/>
              <w:jc w:val="left"/>
            </w:pPr>
            <w:r>
              <w:rPr>
                <w:rFonts w:ascii="Arial" w:hAnsi="Arial"/>
                <w:b/>
                <w:sz w:val="18"/>
              </w:rPr>
              <w:t>Net Worth</w:t>
            </w:r>
          </w:p>
        </w:tc>
        <w:tc>
          <w:tcPr>
            <w:tcW w:type="dxa" w:w="5386"/>
          </w:tcPr>
          <w:p>
            <w:pPr>
              <w:spacing w:before="0" w:after="0"/>
              <w:jc w:val="left"/>
            </w:pPr>
            <w:r>
              <w:rPr>
                <w:rFonts w:ascii="Arial" w:hAnsi="Arial"/>
                <w:b w:val="0"/>
                <w:sz w:val="18"/>
              </w:rPr>
              <w:t>Rs. 745,000,000</w:t>
            </w:r>
          </w:p>
        </w:tc>
      </w:tr>
      <w:tr>
        <w:tc>
          <w:tcPr>
            <w:tcW w:type="dxa" w:w="2268"/>
            <w:shd w:fill="e8edf8" w:val="clear" w:color="auto"/>
          </w:tcPr>
          <w:p>
            <w:pPr>
              <w:spacing w:before="0" w:after="0"/>
              <w:jc w:val="left"/>
            </w:pPr>
            <w:r>
              <w:rPr>
                <w:rFonts w:ascii="Arial" w:hAnsi="Arial"/>
                <w:b/>
                <w:sz w:val="18"/>
              </w:rPr>
              <w:t>DSCR</w:t>
            </w:r>
          </w:p>
        </w:tc>
        <w:tc>
          <w:tcPr>
            <w:tcW w:type="dxa" w:w="5386"/>
          </w:tcPr>
          <w:p>
            <w:pPr>
              <w:spacing w:before="0" w:after="0"/>
              <w:jc w:val="left"/>
            </w:pPr>
            <w:r>
              <w:rPr>
                <w:rFonts w:ascii="Arial" w:hAnsi="Arial"/>
                <w:b w:val="0"/>
                <w:sz w:val="18"/>
              </w:rPr>
              <w:t>4.76x</w:t>
            </w:r>
          </w:p>
        </w:tc>
      </w:tr>
      <w:tr>
        <w:tc>
          <w:tcPr>
            <w:tcW w:type="dxa" w:w="2268"/>
            <w:shd w:fill="e8edf8" w:val="clear" w:color="auto"/>
          </w:tcPr>
          <w:p>
            <w:pPr>
              <w:spacing w:before="0" w:after="0"/>
              <w:jc w:val="left"/>
            </w:pPr>
            <w:r>
              <w:rPr>
                <w:rFonts w:ascii="Arial" w:hAnsi="Arial"/>
                <w:b/>
                <w:sz w:val="18"/>
              </w:rPr>
              <w:t>Net Profit Margin</w:t>
            </w:r>
          </w:p>
        </w:tc>
        <w:tc>
          <w:tcPr>
            <w:tcW w:type="dxa" w:w="5386"/>
          </w:tcPr>
          <w:p>
            <w:pPr>
              <w:spacing w:before="0" w:after="0"/>
              <w:jc w:val="left"/>
            </w:pPr>
            <w:r>
              <w:rPr>
                <w:rFonts w:ascii="Arial" w:hAnsi="Arial"/>
                <w:b w:val="0"/>
                <w:sz w:val="18"/>
              </w:rPr>
              <w:t>12.7%</w:t>
            </w:r>
          </w:p>
        </w:tc>
      </w:tr>
      <w:tr>
        <w:tc>
          <w:tcPr>
            <w:tcW w:type="dxa" w:w="2268"/>
            <w:shd w:fill="e8edf8" w:val="clear" w:color="auto"/>
          </w:tcPr>
          <w:p>
            <w:pPr>
              <w:spacing w:before="0" w:after="0"/>
              <w:jc w:val="left"/>
            </w:pPr>
            <w:r>
              <w:rPr>
                <w:rFonts w:ascii="Arial" w:hAnsi="Arial"/>
                <w:b/>
                <w:sz w:val="18"/>
              </w:rPr>
              <w:t>Avg Monthly Bal.</w:t>
            </w:r>
          </w:p>
        </w:tc>
        <w:tc>
          <w:tcPr>
            <w:tcW w:type="dxa" w:w="5386"/>
          </w:tcPr>
          <w:p>
            <w:pPr>
              <w:spacing w:before="0" w:after="0"/>
              <w:jc w:val="left"/>
            </w:pPr>
            <w:r>
              <w:rPr>
                <w:rFonts w:ascii="Arial" w:hAnsi="Arial"/>
                <w:b w:val="0"/>
                <w:sz w:val="18"/>
              </w:rPr>
              <w:t>Rs. 11,850,000</w:t>
            </w:r>
          </w:p>
        </w:tc>
      </w:tr>
      <w:tr>
        <w:tc>
          <w:tcPr>
            <w:tcW w:type="dxa" w:w="2268"/>
            <w:shd w:fill="e8edf8" w:val="clear" w:color="auto"/>
          </w:tcPr>
          <w:p>
            <w:pPr>
              <w:spacing w:before="0" w:after="0"/>
              <w:jc w:val="left"/>
            </w:pPr>
            <w:r>
              <w:rPr>
                <w:rFonts w:ascii="Arial" w:hAnsi="Arial"/>
                <w:b/>
                <w:sz w:val="18"/>
              </w:rPr>
              <w:t>Data Completeness</w:t>
            </w:r>
          </w:p>
        </w:tc>
        <w:tc>
          <w:tcPr>
            <w:tcW w:type="dxa" w:w="5386"/>
          </w:tcPr>
          <w:p>
            <w:pPr>
              <w:spacing w:before="0" w:after="0"/>
              <w:jc w:val="left"/>
            </w:pPr>
            <w:r>
              <w:rPr>
                <w:rFonts w:ascii="Arial" w:hAnsi="Arial"/>
                <w:b w:val="0"/>
                <w:sz w:val="18"/>
              </w:rPr>
              <w:t>70%</w:t>
            </w:r>
          </w:p>
        </w:tc>
      </w:tr>
    </w:tbl>
    <w:p/>
    <w:p>
      <w:pPr>
        <w:spacing w:before="200" w:after="80"/>
        <w:pBdr>
          <w:left w:val="single" w:sz="18" w:space="6" w:color="0d1f5c"/>
        </w:pBdr>
      </w:pPr>
      <w:r>
        <w:rPr>
          <w:rFonts w:ascii="Arial" w:hAnsi="Arial"/>
          <w:b/>
          <w:color w:val="1A3080"/>
          <w:sz w:val="20"/>
        </w:rPr>
        <w:t>SECTION 2 — FIVE Cs CREDIT ANALYSIS</w:t>
      </w:r>
    </w:p>
    <w:tbl>
      <w:tblPr>
        <w:tblStyle w:val="TableGrid"/>
        <w:tblW w:type="auto" w:w="0"/>
        <w:tblLook w:firstColumn="1" w:firstRow="1" w:lastColumn="0" w:lastRow="0" w:noHBand="0" w:noVBand="1" w:val="04A0"/>
      </w:tblPr>
      <w:tblGrid>
        <w:gridCol w:w="3249"/>
        <w:gridCol w:w="3249"/>
        <w:gridCol w:w="3249"/>
      </w:tblGrid>
      <w:tr>
        <w:tc>
          <w:tcPr>
            <w:tcW w:type="dxa" w:w="3249"/>
            <w:shd w:fill="0d1f5c" w:val="clear" w:color="auto"/>
          </w:tcPr>
          <w:p>
            <w:pPr>
              <w:spacing w:before="0" w:after="0"/>
              <w:jc w:val="left"/>
            </w:pPr>
            <w:r>
              <w:rPr>
                <w:rFonts w:ascii="Arial" w:hAnsi="Arial"/>
                <w:b/>
                <w:color w:val="FFFFFF"/>
                <w:sz w:val="18"/>
              </w:rPr>
              <w:t>Parameter</w:t>
            </w:r>
          </w:p>
        </w:tc>
        <w:tc>
          <w:tcPr>
            <w:tcW w:type="dxa" w:w="3249"/>
            <w:shd w:fill="0d1f5c" w:val="clear" w:color="auto"/>
          </w:tcPr>
          <w:p>
            <w:pPr>
              <w:spacing w:before="0" w:after="0"/>
              <w:jc w:val="left"/>
            </w:pPr>
            <w:r>
              <w:rPr>
                <w:rFonts w:ascii="Arial" w:hAnsi="Arial"/>
                <w:b/>
                <w:color w:val="FFFFFF"/>
                <w:sz w:val="18"/>
              </w:rPr>
              <w:t>Score</w:t>
            </w:r>
          </w:p>
        </w:tc>
        <w:tc>
          <w:tcPr>
            <w:tcW w:type="dxa" w:w="3249"/>
            <w:shd w:fill="0d1f5c" w:val="clear" w:color="auto"/>
          </w:tcPr>
          <w:p>
            <w:pPr>
              <w:spacing w:before="0" w:after="0"/>
              <w:jc w:val="left"/>
            </w:pPr>
            <w:r>
              <w:rPr>
                <w:rFonts w:ascii="Arial" w:hAnsi="Arial"/>
                <w:b/>
                <w:color w:val="FFFFFF"/>
                <w:sz w:val="18"/>
              </w:rPr>
              <w:t>Assessment</w:t>
            </w:r>
          </w:p>
        </w:tc>
      </w:tr>
      <w:tr>
        <w:tc>
          <w:tcPr>
            <w:tcW w:type="dxa" w:w="3249"/>
          </w:tcPr>
          <w:p>
            <w:pPr>
              <w:spacing w:before="0" w:after="0"/>
              <w:jc w:val="left"/>
            </w:pPr>
            <w:r>
              <w:rPr>
                <w:rFonts w:ascii="Arial" w:hAnsi="Arial"/>
                <w:b/>
                <w:sz w:val="18"/>
              </w:rPr>
              <w:t>Character</w:t>
            </w:r>
          </w:p>
        </w:tc>
        <w:tc>
          <w:tcPr>
            <w:tcW w:type="dxa" w:w="3249"/>
          </w:tcPr>
          <w:p>
            <w:pPr>
              <w:spacing w:before="0" w:after="0"/>
              <w:jc w:val="center"/>
            </w:pPr>
            <w:r>
              <w:rPr>
                <w:rFonts w:ascii="Arial" w:hAnsi="Arial"/>
                <w:b w:val="0"/>
                <w:sz w:val="18"/>
              </w:rPr>
              <w:t>6.0/10</w:t>
            </w:r>
          </w:p>
        </w:tc>
        <w:tc>
          <w:tcPr>
            <w:tcW w:type="dxa" w:w="3249"/>
          </w:tcPr>
          <w:p>
            <w:pPr>
              <w:spacing w:before="0" w:after="0"/>
              <w:jc w:val="left"/>
            </w:pPr>
            <w:r>
              <w:rPr>
                <w:rFonts w:ascii="Arial" w:hAnsi="Arial"/>
                <w:b w:val="0"/>
                <w:sz w:val="18"/>
              </w:rPr>
              <w:t>Good character with minor concerns. Monitor regularly.</w:t>
            </w:r>
          </w:p>
        </w:tc>
      </w:tr>
      <w:tr>
        <w:tc>
          <w:tcPr>
            <w:tcW w:type="dxa" w:w="3249"/>
          </w:tcPr>
          <w:p>
            <w:pPr>
              <w:spacing w:before="0" w:after="0"/>
              <w:jc w:val="left"/>
            </w:pPr>
            <w:r>
              <w:rPr>
                <w:rFonts w:ascii="Arial" w:hAnsi="Arial"/>
                <w:b/>
                <w:sz w:val="18"/>
              </w:rPr>
              <w:t>Capacity</w:t>
            </w:r>
          </w:p>
        </w:tc>
        <w:tc>
          <w:tcPr>
            <w:tcW w:type="dxa" w:w="3249"/>
          </w:tcPr>
          <w:p>
            <w:pPr>
              <w:spacing w:before="0" w:after="0"/>
              <w:jc w:val="center"/>
            </w:pPr>
            <w:r>
              <w:rPr>
                <w:rFonts w:ascii="Arial" w:hAnsi="Arial"/>
                <w:b w:val="0"/>
                <w:sz w:val="18"/>
              </w:rPr>
              <w:t>10.0/10</w:t>
            </w:r>
          </w:p>
        </w:tc>
        <w:tc>
          <w:tcPr>
            <w:tcW w:type="dxa" w:w="3249"/>
          </w:tcPr>
          <w:p>
            <w:pPr>
              <w:spacing w:before="0" w:after="0"/>
              <w:jc w:val="left"/>
            </w:pPr>
            <w:r>
              <w:rPr>
                <w:rFonts w:ascii="Arial" w:hAnsi="Arial"/>
                <w:b w:val="0"/>
                <w:sz w:val="18"/>
              </w:rPr>
              <w:t>Excellent repayment capacity. Strong and consistent cash flows.</w:t>
            </w:r>
          </w:p>
        </w:tc>
      </w:tr>
      <w:tr>
        <w:tc>
          <w:tcPr>
            <w:tcW w:type="dxa" w:w="3249"/>
          </w:tcPr>
          <w:p>
            <w:pPr>
              <w:spacing w:before="0" w:after="0"/>
              <w:jc w:val="left"/>
            </w:pPr>
            <w:r>
              <w:rPr>
                <w:rFonts w:ascii="Arial" w:hAnsi="Arial"/>
                <w:b/>
                <w:sz w:val="18"/>
              </w:rPr>
              <w:t>Capital</w:t>
            </w:r>
          </w:p>
        </w:tc>
        <w:tc>
          <w:tcPr>
            <w:tcW w:type="dxa" w:w="3249"/>
          </w:tcPr>
          <w:p>
            <w:pPr>
              <w:spacing w:before="0" w:after="0"/>
              <w:jc w:val="center"/>
            </w:pPr>
            <w:r>
              <w:rPr>
                <w:rFonts w:ascii="Arial" w:hAnsi="Arial"/>
                <w:b w:val="0"/>
                <w:sz w:val="18"/>
              </w:rPr>
              <w:t>10.0/10</w:t>
            </w:r>
          </w:p>
        </w:tc>
        <w:tc>
          <w:tcPr>
            <w:tcW w:type="dxa" w:w="3249"/>
          </w:tcPr>
          <w:p>
            <w:pPr>
              <w:spacing w:before="0" w:after="0"/>
              <w:jc w:val="left"/>
            </w:pPr>
            <w:r>
              <w:rPr>
                <w:rFonts w:ascii="Arial" w:hAnsi="Arial"/>
                <w:b w:val="0"/>
                <w:sz w:val="18"/>
              </w:rPr>
              <w:t>Strong capital base. Well-capitalized with low leverage.</w:t>
            </w:r>
          </w:p>
        </w:tc>
      </w:tr>
      <w:tr>
        <w:tc>
          <w:tcPr>
            <w:tcW w:type="dxa" w:w="3249"/>
          </w:tcPr>
          <w:p>
            <w:pPr>
              <w:spacing w:before="0" w:after="0"/>
              <w:jc w:val="left"/>
            </w:pPr>
            <w:r>
              <w:rPr>
                <w:rFonts w:ascii="Arial" w:hAnsi="Arial"/>
                <w:b/>
                <w:sz w:val="18"/>
              </w:rPr>
              <w:t>Collateral</w:t>
            </w:r>
          </w:p>
        </w:tc>
        <w:tc>
          <w:tcPr>
            <w:tcW w:type="dxa" w:w="3249"/>
          </w:tcPr>
          <w:p>
            <w:pPr>
              <w:spacing w:before="0" w:after="0"/>
              <w:jc w:val="center"/>
            </w:pPr>
            <w:r>
              <w:rPr>
                <w:rFonts w:ascii="Arial" w:hAnsi="Arial"/>
                <w:b w:val="0"/>
                <w:sz w:val="18"/>
              </w:rPr>
              <w:t>6.0/10</w:t>
            </w:r>
          </w:p>
        </w:tc>
        <w:tc>
          <w:tcPr>
            <w:tcW w:type="dxa" w:w="3249"/>
          </w:tcPr>
          <w:p>
            <w:pPr>
              <w:spacing w:before="0" w:after="0"/>
              <w:jc w:val="left"/>
            </w:pPr>
            <w:r>
              <w:rPr>
                <w:rFonts w:ascii="Arial" w:hAnsi="Arial"/>
                <w:b w:val="0"/>
                <w:sz w:val="18"/>
              </w:rPr>
              <w:t>Adequate collateral. Loan well-secured.</w:t>
            </w:r>
          </w:p>
        </w:tc>
      </w:tr>
      <w:tr>
        <w:tc>
          <w:tcPr>
            <w:tcW w:type="dxa" w:w="3249"/>
          </w:tcPr>
          <w:p>
            <w:pPr>
              <w:spacing w:before="0" w:after="0"/>
              <w:jc w:val="left"/>
            </w:pPr>
            <w:r>
              <w:rPr>
                <w:rFonts w:ascii="Arial" w:hAnsi="Arial"/>
                <w:b/>
                <w:sz w:val="18"/>
              </w:rPr>
              <w:t>Conditions</w:t>
            </w:r>
          </w:p>
        </w:tc>
        <w:tc>
          <w:tcPr>
            <w:tcW w:type="dxa" w:w="3249"/>
          </w:tcPr>
          <w:p>
            <w:pPr>
              <w:spacing w:before="0" w:after="0"/>
              <w:jc w:val="center"/>
            </w:pPr>
            <w:r>
              <w:rPr>
                <w:rFonts w:ascii="Arial" w:hAnsi="Arial"/>
                <w:b w:val="0"/>
                <w:sz w:val="18"/>
              </w:rPr>
              <w:t>7.0/10</w:t>
            </w:r>
          </w:p>
        </w:tc>
        <w:tc>
          <w:tcPr>
            <w:tcW w:type="dxa" w:w="3249"/>
          </w:tcPr>
          <w:p>
            <w:pPr>
              <w:spacing w:before="0" w:after="0"/>
              <w:jc w:val="left"/>
            </w:pPr>
            <w:r>
              <w:rPr>
                <w:rFonts w:ascii="Arial" w:hAnsi="Arial"/>
                <w:b w:val="0"/>
                <w:sz w:val="18"/>
              </w:rPr>
              <w:t>Neutral conditions. Standard sector risk.</w:t>
            </w:r>
          </w:p>
        </w:tc>
      </w:tr>
      <w:tr>
        <w:tc>
          <w:tcPr>
            <w:tcW w:type="dxa" w:w="3249"/>
            <w:shd w:fill="e8edf8" w:val="clear" w:color="auto"/>
          </w:tcPr>
          <w:p>
            <w:pPr>
              <w:spacing w:before="0" w:after="0"/>
              <w:jc w:val="left"/>
            </w:pPr>
            <w:r>
              <w:rPr>
                <w:rFonts w:ascii="Arial" w:hAnsi="Arial"/>
                <w:b/>
                <w:sz w:val="18"/>
              </w:rPr>
              <w:t>OVERALL</w:t>
            </w:r>
          </w:p>
        </w:tc>
        <w:tc>
          <w:tcPr>
            <w:tcW w:type="dxa" w:w="3249"/>
            <w:shd w:fill="e8edf8" w:val="clear" w:color="auto"/>
          </w:tcPr>
          <w:p>
            <w:pPr>
              <w:spacing w:before="0" w:after="0"/>
              <w:jc w:val="center"/>
            </w:pPr>
            <w:r>
              <w:rPr>
                <w:rFonts w:ascii="Arial" w:hAnsi="Arial"/>
                <w:b/>
                <w:sz w:val="18"/>
              </w:rPr>
              <w:t>8.1/10</w:t>
            </w:r>
          </w:p>
        </w:tc>
        <w:tc>
          <w:tcPr>
            <w:tcW w:type="dxa" w:w="3249"/>
            <w:shd w:fill="e8edf8" w:val="clear" w:color="auto"/>
          </w:tcPr>
          <w:p>
            <w:pPr>
              <w:spacing w:before="0" w:after="0"/>
              <w:jc w:val="left"/>
            </w:pPr>
            <w:r>
              <w:rPr>
                <w:rFonts w:ascii="Arial" w:hAnsi="Arial"/>
                <w:b/>
                <w:sz w:val="18"/>
              </w:rPr>
              <w:t>Weighted average</w:t>
            </w:r>
          </w:p>
        </w:tc>
      </w:tr>
    </w:tbl>
    <w:p/>
    <w:p>
      <w:pPr>
        <w:spacing w:before="200" w:after="80"/>
        <w:pBdr>
          <w:left w:val="single" w:sz="18" w:space="6" w:color="0d1f5c"/>
        </w:pBdr>
      </w:pPr>
      <w:r>
        <w:rPr>
          <w:rFonts w:ascii="Arial" w:hAnsi="Arial"/>
          <w:b/>
          <w:color w:val="1A3080"/>
          <w:sz w:val="20"/>
        </w:rPr>
        <w:t>SECTION 3 — AI RISK DRIVERS (SHAP)</w:t>
      </w:r>
    </w:p>
    <w:tbl>
      <w:tblPr>
        <w:tblStyle w:val="TableGrid"/>
        <w:tblW w:type="auto" w:w="0"/>
        <w:tblLook w:firstColumn="1" w:firstRow="1" w:lastColumn="0" w:lastRow="0" w:noHBand="0" w:noVBand="1" w:val="04A0"/>
      </w:tblPr>
      <w:tblGrid>
        <w:gridCol w:w="3249"/>
        <w:gridCol w:w="3249"/>
        <w:gridCol w:w="3249"/>
      </w:tblGrid>
      <w:tr>
        <w:tc>
          <w:tcPr>
            <w:tcW w:type="dxa" w:w="3249"/>
            <w:shd w:fill="0d1f5c" w:val="clear" w:color="auto"/>
          </w:tcPr>
          <w:p>
            <w:pPr>
              <w:spacing w:before="0" w:after="0"/>
              <w:jc w:val="left"/>
            </w:pPr>
            <w:r>
              <w:rPr>
                <w:rFonts w:ascii="Arial" w:hAnsi="Arial"/>
                <w:b/>
                <w:color w:val="FFFFFF"/>
                <w:sz w:val="18"/>
              </w:rPr>
              <w:t>Factor</w:t>
            </w:r>
          </w:p>
        </w:tc>
        <w:tc>
          <w:tcPr>
            <w:tcW w:type="dxa" w:w="3249"/>
            <w:shd w:fill="0d1f5c" w:val="clear" w:color="auto"/>
          </w:tcPr>
          <w:p>
            <w:pPr>
              <w:spacing w:before="0" w:after="0"/>
              <w:jc w:val="left"/>
            </w:pPr>
            <w:r>
              <w:rPr>
                <w:rFonts w:ascii="Arial" w:hAnsi="Arial"/>
                <w:b/>
                <w:color w:val="FFFFFF"/>
                <w:sz w:val="18"/>
              </w:rPr>
              <w:t>SHAP Impact</w:t>
            </w:r>
          </w:p>
        </w:tc>
        <w:tc>
          <w:tcPr>
            <w:tcW w:type="dxa" w:w="3249"/>
            <w:shd w:fill="0d1f5c" w:val="clear" w:color="auto"/>
          </w:tcPr>
          <w:p>
            <w:pPr>
              <w:spacing w:before="0" w:after="0"/>
              <w:jc w:val="left"/>
            </w:pPr>
            <w:r>
              <w:rPr>
                <w:rFonts w:ascii="Arial" w:hAnsi="Arial"/>
                <w:b/>
                <w:color w:val="FFFFFF"/>
                <w:sz w:val="18"/>
              </w:rPr>
              <w:t>Direction</w:t>
            </w:r>
          </w:p>
        </w:tc>
      </w:tr>
      <w:tr>
        <w:tc>
          <w:tcPr>
            <w:tcW w:type="dxa" w:w="3249"/>
          </w:tcPr>
          <w:p>
            <w:pPr>
              <w:spacing w:before="0" w:after="0"/>
              <w:jc w:val="left"/>
            </w:pPr>
            <w:r>
              <w:rPr>
                <w:rFonts w:ascii="Arial" w:hAnsi="Arial"/>
                <w:b w:val="0"/>
                <w:sz w:val="18"/>
              </w:rPr>
              <w:t>Active Litigation</w:t>
            </w:r>
          </w:p>
        </w:tc>
        <w:tc>
          <w:tcPr>
            <w:tcW w:type="dxa" w:w="3249"/>
          </w:tcPr>
          <w:p>
            <w:pPr>
              <w:spacing w:before="0" w:after="0"/>
              <w:jc w:val="center"/>
            </w:pPr>
            <w:r>
              <w:rPr>
                <w:rFonts w:ascii="Arial" w:hAnsi="Arial"/>
                <w:b w:val="0"/>
                <w:sz w:val="18"/>
              </w:rPr>
              <w:t>1.5997</w:t>
            </w:r>
          </w:p>
        </w:tc>
        <w:tc>
          <w:tcPr>
            <w:tcW w:type="dxa" w:w="3249"/>
          </w:tcPr>
          <w:p>
            <w:pPr>
              <w:spacing w:before="0" w:after="0"/>
              <w:jc w:val="left"/>
            </w:pPr>
            <w:r>
              <w:rPr>
                <w:rFonts w:ascii="Arial" w:hAnsi="Arial"/>
                <w:b w:val="0"/>
                <w:sz w:val="18"/>
              </w:rPr>
              <w:t>decreases risk</w:t>
            </w:r>
          </w:p>
        </w:tc>
      </w:tr>
      <w:tr>
        <w:tc>
          <w:tcPr>
            <w:tcW w:type="dxa" w:w="3249"/>
          </w:tcPr>
          <w:p>
            <w:pPr>
              <w:spacing w:before="0" w:after="0"/>
              <w:jc w:val="left"/>
            </w:pPr>
            <w:r>
              <w:rPr>
                <w:rFonts w:ascii="Arial" w:hAnsi="Arial"/>
                <w:b w:val="0"/>
                <w:sz w:val="18"/>
              </w:rPr>
              <w:t>EMI Bounce Count</w:t>
            </w:r>
          </w:p>
        </w:tc>
        <w:tc>
          <w:tcPr>
            <w:tcW w:type="dxa" w:w="3249"/>
          </w:tcPr>
          <w:p>
            <w:pPr>
              <w:spacing w:before="0" w:after="0"/>
              <w:jc w:val="center"/>
            </w:pPr>
            <w:r>
              <w:rPr>
                <w:rFonts w:ascii="Arial" w:hAnsi="Arial"/>
                <w:b w:val="0"/>
                <w:sz w:val="18"/>
              </w:rPr>
              <w:t>1.5751</w:t>
            </w:r>
          </w:p>
        </w:tc>
        <w:tc>
          <w:tcPr>
            <w:tcW w:type="dxa" w:w="3249"/>
          </w:tcPr>
          <w:p>
            <w:pPr>
              <w:spacing w:before="0" w:after="0"/>
              <w:jc w:val="left"/>
            </w:pPr>
            <w:r>
              <w:rPr>
                <w:rFonts w:ascii="Arial" w:hAnsi="Arial"/>
                <w:b w:val="0"/>
                <w:sz w:val="18"/>
              </w:rPr>
              <w:t>decreases risk</w:t>
            </w:r>
          </w:p>
        </w:tc>
      </w:tr>
      <w:tr>
        <w:tc>
          <w:tcPr>
            <w:tcW w:type="dxa" w:w="3249"/>
          </w:tcPr>
          <w:p>
            <w:pPr>
              <w:spacing w:before="0" w:after="0"/>
              <w:jc w:val="left"/>
            </w:pPr>
            <w:r>
              <w:rPr>
                <w:rFonts w:ascii="Arial" w:hAnsi="Arial"/>
                <w:b w:val="0"/>
                <w:sz w:val="18"/>
              </w:rPr>
              <w:t>GST Filing Regularity</w:t>
            </w:r>
          </w:p>
        </w:tc>
        <w:tc>
          <w:tcPr>
            <w:tcW w:type="dxa" w:w="3249"/>
          </w:tcPr>
          <w:p>
            <w:pPr>
              <w:spacing w:before="0" w:after="0"/>
              <w:jc w:val="center"/>
            </w:pPr>
            <w:r>
              <w:rPr>
                <w:rFonts w:ascii="Arial" w:hAnsi="Arial"/>
                <w:b w:val="0"/>
                <w:sz w:val="18"/>
              </w:rPr>
              <w:t>1.2346</w:t>
            </w:r>
          </w:p>
        </w:tc>
        <w:tc>
          <w:tcPr>
            <w:tcW w:type="dxa" w:w="3249"/>
          </w:tcPr>
          <w:p>
            <w:pPr>
              <w:spacing w:before="0" w:after="0"/>
              <w:jc w:val="left"/>
            </w:pPr>
            <w:r>
              <w:rPr>
                <w:rFonts w:ascii="Arial" w:hAnsi="Arial"/>
                <w:b w:val="0"/>
                <w:sz w:val="18"/>
              </w:rPr>
              <w:t>increases risk</w:t>
            </w:r>
          </w:p>
        </w:tc>
      </w:tr>
      <w:tr>
        <w:tc>
          <w:tcPr>
            <w:tcW w:type="dxa" w:w="3249"/>
          </w:tcPr>
          <w:p>
            <w:pPr>
              <w:spacing w:before="0" w:after="0"/>
              <w:jc w:val="left"/>
            </w:pPr>
            <w:r>
              <w:rPr>
                <w:rFonts w:ascii="Arial" w:hAnsi="Arial"/>
                <w:b w:val="0"/>
                <w:sz w:val="18"/>
              </w:rPr>
              <w:t>GSTR 2A vs 3B Variance</w:t>
            </w:r>
          </w:p>
        </w:tc>
        <w:tc>
          <w:tcPr>
            <w:tcW w:type="dxa" w:w="3249"/>
          </w:tcPr>
          <w:p>
            <w:pPr>
              <w:spacing w:before="0" w:after="0"/>
              <w:jc w:val="center"/>
            </w:pPr>
            <w:r>
              <w:rPr>
                <w:rFonts w:ascii="Arial" w:hAnsi="Arial"/>
                <w:b w:val="0"/>
                <w:sz w:val="18"/>
              </w:rPr>
              <w:t>0.7344</w:t>
            </w:r>
          </w:p>
        </w:tc>
        <w:tc>
          <w:tcPr>
            <w:tcW w:type="dxa" w:w="3249"/>
          </w:tcPr>
          <w:p>
            <w:pPr>
              <w:spacing w:before="0" w:after="0"/>
              <w:jc w:val="left"/>
            </w:pPr>
            <w:r>
              <w:rPr>
                <w:rFonts w:ascii="Arial" w:hAnsi="Arial"/>
                <w:b w:val="0"/>
                <w:sz w:val="18"/>
              </w:rPr>
              <w:t>decreases risk</w:t>
            </w:r>
          </w:p>
        </w:tc>
      </w:tr>
    </w:tbl>
    <w:p/>
    <w:p>
      <w:pPr>
        <w:spacing w:before="200" w:after="80"/>
        <w:pBdr>
          <w:left w:val="single" w:sz="18" w:space="6" w:color="0d1f5c"/>
        </w:pBdr>
      </w:pPr>
      <w:r>
        <w:rPr>
          <w:rFonts w:ascii="Arial" w:hAnsi="Arial"/>
          <w:b/>
          <w:color w:val="1A3080"/>
          <w:sz w:val="20"/>
        </w:rPr>
        <w:t>SECTION 4 — SWOT ANALYSIS</w:t>
      </w:r>
    </w:p>
    <w:p>
      <w:r>
        <w:rPr>
          <w:rFonts w:ascii="Arial" w:hAnsi="Arial"/>
          <w:b/>
          <w:sz w:val="18"/>
        </w:rPr>
        <w:t>STRENGTHS</w:t>
      </w:r>
    </w:p>
    <w:p>
      <w:pPr>
        <w:spacing w:after="20"/>
      </w:pPr>
      <w:r>
        <w:rPr>
          <w:rFonts w:ascii="Arial" w:hAnsi="Arial"/>
          <w:sz w:val="17"/>
        </w:rPr>
        <w:t xml:space="preserve">  • Excellent repayment capacity with a Capacity score of 10.0/10, indicating strong and consistent cash flows</w:t>
      </w:r>
    </w:p>
    <w:p>
      <w:pPr>
        <w:spacing w:after="20"/>
      </w:pPr>
      <w:r>
        <w:rPr>
          <w:rFonts w:ascii="Arial" w:hAnsi="Arial"/>
          <w:sz w:val="17"/>
        </w:rPr>
        <w:t xml:space="preserve">  • Strong capital base with a Capital score of 10.0/10, characterized by a low debt-to-equity ratio of 0.0x and a high net worth of Rs.745,000,000</w:t>
      </w:r>
    </w:p>
    <w:p>
      <w:pPr>
        <w:spacing w:after="20"/>
      </w:pPr>
      <w:r>
        <w:rPr>
          <w:rFonts w:ascii="Arial" w:hAnsi="Arial"/>
          <w:sz w:val="17"/>
        </w:rPr>
        <w:t xml:space="preserve">  • Healthy financial ratios, including a DSCR of 4.76x and a net profit margin of 12.7%, demonstrating the company's ability to meet its debt obligations</w:t>
      </w:r>
    </w:p>
    <w:p>
      <w:r>
        <w:rPr>
          <w:rFonts w:ascii="Arial" w:hAnsi="Arial"/>
          <w:b/>
          <w:sz w:val="18"/>
        </w:rPr>
        <w:t>WEAKNESSES</w:t>
      </w:r>
    </w:p>
    <w:p>
      <w:pPr>
        <w:spacing w:after="20"/>
      </w:pPr>
      <w:r>
        <w:rPr>
          <w:rFonts w:ascii="Arial" w:hAnsi="Arial"/>
          <w:sz w:val="17"/>
        </w:rPr>
        <w:t xml:space="preserve">  • GSTR-2A vs 3B mismatch detected with a variance of 38.55%, which may indicate potential GST compliance issues</w:t>
      </w:r>
    </w:p>
    <w:p>
      <w:pPr>
        <w:spacing w:after="20"/>
      </w:pPr>
      <w:r>
        <w:rPr>
          <w:rFonts w:ascii="Arial" w:hAnsi="Arial"/>
          <w:sz w:val="17"/>
        </w:rPr>
        <w:t xml:space="preserve">  • Thin cash flow margin of 7.7%, which could be a concern in case of unexpected expenses or revenue shortfalls</w:t>
      </w:r>
    </w:p>
    <w:p>
      <w:pPr>
        <w:spacing w:after="20"/>
      </w:pPr>
      <w:r>
        <w:rPr>
          <w:rFonts w:ascii="Arial" w:hAnsi="Arial"/>
          <w:sz w:val="17"/>
        </w:rPr>
        <w:t xml:space="preserve">  • Presence of 1 negative news article, including a GST notice for ITC mismatch, which may impact the company's reputation and compliance</w:t>
      </w:r>
    </w:p>
    <w:p>
      <w:r>
        <w:rPr>
          <w:rFonts w:ascii="Arial" w:hAnsi="Arial"/>
          <w:b/>
          <w:sz w:val="18"/>
        </w:rPr>
        <w:t>OPPORTUNITIES</w:t>
      </w:r>
    </w:p>
    <w:p>
      <w:pPr>
        <w:spacing w:after="20"/>
      </w:pPr>
      <w:r>
        <w:rPr>
          <w:rFonts w:ascii="Arial" w:hAnsi="Arial"/>
          <w:sz w:val="17"/>
        </w:rPr>
        <w:t xml:space="preserve">  • Growing revenue, as evidenced by a 15% revenue growth in Q3, which could lead to increased cash flows and improved repayment capacity</w:t>
      </w:r>
    </w:p>
    <w:p>
      <w:pPr>
        <w:spacing w:after="20"/>
      </w:pPr>
      <w:r>
        <w:rPr>
          <w:rFonts w:ascii="Arial" w:hAnsi="Arial"/>
          <w:sz w:val="17"/>
        </w:rPr>
        <w:t xml:space="preserve">  • Low sector risk, with a moderate risk score of 5/10, which may provide a relatively stable operating environment</w:t>
      </w:r>
    </w:p>
    <w:p>
      <w:pPr>
        <w:spacing w:after="20"/>
      </w:pPr>
      <w:r>
        <w:rPr>
          <w:rFonts w:ascii="Arial" w:hAnsi="Arial"/>
          <w:sz w:val="17"/>
        </w:rPr>
        <w:t xml:space="preserve">  • Potential for improved GST compliance, which could mitigate the risk of penalties and reputational damage</w:t>
      </w:r>
    </w:p>
    <w:p>
      <w:r>
        <w:rPr>
          <w:rFonts w:ascii="Arial" w:hAnsi="Arial"/>
          <w:b/>
          <w:sz w:val="18"/>
        </w:rPr>
        <w:t>THREATS</w:t>
      </w:r>
    </w:p>
    <w:p>
      <w:pPr>
        <w:spacing w:after="20"/>
      </w:pPr>
      <w:r>
        <w:rPr>
          <w:rFonts w:ascii="Arial" w:hAnsi="Arial"/>
          <w:sz w:val="17"/>
        </w:rPr>
        <w:t xml:space="preserve">  • GST reconciliation issues, with a risk flag and a variance of 38.55%, which may lead to penalties and compliance risks</w:t>
      </w:r>
    </w:p>
    <w:p>
      <w:pPr>
        <w:spacing w:after="20"/>
      </w:pPr>
      <w:r>
        <w:rPr>
          <w:rFonts w:ascii="Arial" w:hAnsi="Arial"/>
          <w:sz w:val="17"/>
        </w:rPr>
        <w:t xml:space="preserve">  • Potential impact of negative news articles, including the GST notice, on the company's reputation and relationships with stakeholders</w:t>
      </w:r>
    </w:p>
    <w:p>
      <w:pPr>
        <w:spacing w:after="20"/>
      </w:pPr>
      <w:r>
        <w:rPr>
          <w:rFonts w:ascii="Arial" w:hAnsi="Arial"/>
          <w:sz w:val="17"/>
        </w:rPr>
        <w:t xml:space="preserve">  • Risk of sudden large cash withdrawals, which could affect the company's liquidity and repayment capacity</w:t>
      </w:r>
    </w:p>
    <w:p>
      <w:r>
        <w:t>Lakme's strong capital base, excellent repayment capacity, and growing revenue provide a solid foundation for its creditworthiness, but the company must address its GST compliance issues and monitor its cash flows to mitigate potential risks. Overall, the company's low risk category and approval decision suggest a favorable credit assessment, pending verification of GST reconciliation.</w:t>
      </w:r>
    </w:p>
    <w:p/>
    <w:p>
      <w:pPr>
        <w:spacing w:before="200" w:after="80"/>
        <w:pBdr>
          <w:left w:val="single" w:sz="18" w:space="6" w:color="0d1f5c"/>
        </w:pBdr>
      </w:pPr>
      <w:r>
        <w:rPr>
          <w:rFonts w:ascii="Arial" w:hAnsi="Arial"/>
          <w:b/>
          <w:color w:val="1A3080"/>
          <w:sz w:val="20"/>
        </w:rPr>
        <w:t>SECTION 5 — EXTERNAL RESEARCH</w:t>
      </w:r>
    </w:p>
    <w:tbl>
      <w:tblPr>
        <w:tblStyle w:val="TableGrid"/>
        <w:tblW w:type="auto" w:w="0"/>
        <w:tblLook w:firstColumn="1" w:firstRow="1" w:lastColumn="0" w:lastRow="0" w:noHBand="0" w:noVBand="1" w:val="04A0"/>
      </w:tblPr>
      <w:tblGrid>
        <w:gridCol w:w="4873"/>
        <w:gridCol w:w="4873"/>
      </w:tblGrid>
      <w:tr>
        <w:tc>
          <w:tcPr>
            <w:tcW w:type="dxa" w:w="2268"/>
            <w:shd w:fill="e8edf8" w:val="clear" w:color="auto"/>
          </w:tcPr>
          <w:p>
            <w:pPr>
              <w:spacing w:before="0" w:after="0"/>
              <w:jc w:val="left"/>
            </w:pPr>
            <w:r>
              <w:rPr>
                <w:rFonts w:ascii="Arial" w:hAnsi="Arial"/>
                <w:b/>
                <w:sz w:val="18"/>
              </w:rPr>
              <w:t>News Risk Score</w:t>
            </w:r>
          </w:p>
        </w:tc>
        <w:tc>
          <w:tcPr>
            <w:tcW w:type="dxa" w:w="5386"/>
          </w:tcPr>
          <w:p>
            <w:pPr>
              <w:spacing w:before="0" w:after="0"/>
              <w:jc w:val="left"/>
            </w:pPr>
            <w:r>
              <w:rPr>
                <w:rFonts w:ascii="Arial" w:hAnsi="Arial"/>
                <w:b w:val="0"/>
                <w:sz w:val="18"/>
              </w:rPr>
              <w:t>3.5/10</w:t>
            </w:r>
          </w:p>
        </w:tc>
      </w:tr>
      <w:tr>
        <w:tc>
          <w:tcPr>
            <w:tcW w:type="dxa" w:w="2268"/>
            <w:shd w:fill="e8edf8" w:val="clear" w:color="auto"/>
          </w:tcPr>
          <w:p>
            <w:pPr>
              <w:spacing w:before="0" w:after="0"/>
              <w:jc w:val="left"/>
            </w:pPr>
            <w:r>
              <w:rPr>
                <w:rFonts w:ascii="Arial" w:hAnsi="Arial"/>
                <w:b/>
                <w:sz w:val="18"/>
              </w:rPr>
              <w:t>Negative News</w:t>
            </w:r>
          </w:p>
        </w:tc>
        <w:tc>
          <w:tcPr>
            <w:tcW w:type="dxa" w:w="5386"/>
          </w:tcPr>
          <w:p>
            <w:pPr>
              <w:spacing w:before="0" w:after="0"/>
              <w:jc w:val="left"/>
            </w:pPr>
            <w:r>
              <w:rPr>
                <w:rFonts w:ascii="Arial" w:hAnsi="Arial"/>
                <w:b w:val="0"/>
                <w:sz w:val="18"/>
              </w:rPr>
              <w:t>1</w:t>
            </w:r>
          </w:p>
        </w:tc>
      </w:tr>
      <w:tr>
        <w:tc>
          <w:tcPr>
            <w:tcW w:type="dxa" w:w="2268"/>
            <w:shd w:fill="e8edf8" w:val="clear" w:color="auto"/>
          </w:tcPr>
          <w:p>
            <w:pPr>
              <w:spacing w:before="0" w:after="0"/>
              <w:jc w:val="left"/>
            </w:pPr>
            <w:r>
              <w:rPr>
                <w:rFonts w:ascii="Arial" w:hAnsi="Arial"/>
                <w:b/>
                <w:sz w:val="18"/>
              </w:rPr>
              <w:t>Litigation</w:t>
            </w:r>
          </w:p>
        </w:tc>
        <w:tc>
          <w:tcPr>
            <w:tcW w:type="dxa" w:w="5386"/>
          </w:tcPr>
          <w:p>
            <w:pPr>
              <w:spacing w:before="0" w:after="0"/>
              <w:jc w:val="left"/>
            </w:pPr>
            <w:r>
              <w:rPr>
                <w:rFonts w:ascii="Arial" w:hAnsi="Arial"/>
                <w:b w:val="0"/>
                <w:sz w:val="18"/>
              </w:rPr>
              <w:t>None</w:t>
            </w:r>
          </w:p>
        </w:tc>
      </w:tr>
      <w:tr>
        <w:tc>
          <w:tcPr>
            <w:tcW w:type="dxa" w:w="2268"/>
            <w:shd w:fill="e8edf8" w:val="clear" w:color="auto"/>
          </w:tcPr>
          <w:p>
            <w:pPr>
              <w:spacing w:before="0" w:after="0"/>
              <w:jc w:val="left"/>
            </w:pPr>
            <w:r>
              <w:rPr>
                <w:rFonts w:ascii="Arial" w:hAnsi="Arial"/>
                <w:b/>
                <w:sz w:val="18"/>
              </w:rPr>
              <w:t>MCA Charges</w:t>
            </w:r>
          </w:p>
        </w:tc>
        <w:tc>
          <w:tcPr>
            <w:tcW w:type="dxa" w:w="5386"/>
          </w:tcPr>
          <w:p>
            <w:pPr>
              <w:spacing w:before="0" w:after="0"/>
              <w:jc w:val="left"/>
            </w:pPr>
            <w:r>
              <w:rPr>
                <w:rFonts w:ascii="Arial" w:hAnsi="Arial"/>
                <w:b w:val="0"/>
                <w:sz w:val="18"/>
              </w:rPr>
              <w:t>None</w:t>
            </w:r>
          </w:p>
        </w:tc>
      </w:tr>
    </w:tbl>
    <w:p>
      <w:r>
        <w:t>Found 2 articles: 1 negative, 1 positive. News risk score: 3.5/10. Top negative: 'Lakme faces GST notice for ITC mismatch' No litigation found. No MCA charges. No RBI/SEBI actions.</w:t>
      </w:r>
    </w:p>
    <w:p/>
    <w:p>
      <w:pPr>
        <w:spacing w:before="200" w:after="80"/>
        <w:pBdr>
          <w:left w:val="single" w:sz="18" w:space="6" w:color="0d1f5c"/>
        </w:pBdr>
      </w:pPr>
      <w:r>
        <w:rPr>
          <w:rFonts w:ascii="Arial" w:hAnsi="Arial"/>
          <w:b/>
          <w:color w:val="1A3080"/>
          <w:sz w:val="20"/>
        </w:rPr>
        <w:t>SECTION 6 — EARLY WARNING SIGNALS</w:t>
      </w:r>
    </w:p>
    <w:tbl>
      <w:tblPr>
        <w:tblStyle w:val="TableGrid"/>
        <w:tblW w:type="auto" w:w="0"/>
        <w:tblLook w:firstColumn="1" w:firstRow="1" w:lastColumn="0" w:lastRow="0" w:noHBand="0" w:noVBand="1" w:val="04A0"/>
      </w:tblPr>
      <w:tblGrid>
        <w:gridCol w:w="4873"/>
        <w:gridCol w:w="4873"/>
      </w:tblGrid>
      <w:tr>
        <w:tc>
          <w:tcPr>
            <w:tcW w:type="dxa" w:w="4873"/>
            <w:shd w:fill="b85c00" w:val="clear" w:color="auto"/>
          </w:tcPr>
          <w:p>
            <w:pPr>
              <w:spacing w:before="0" w:after="0"/>
              <w:jc w:val="left"/>
            </w:pPr>
            <w:r>
              <w:rPr>
                <w:rFonts w:ascii="Arial" w:hAnsi="Arial"/>
                <w:b/>
                <w:color w:val="FFFFFF"/>
                <w:sz w:val="18"/>
              </w:rPr>
              <w:t>Signal</w:t>
            </w:r>
          </w:p>
        </w:tc>
        <w:tc>
          <w:tcPr>
            <w:tcW w:type="dxa" w:w="4873"/>
            <w:shd w:fill="b85c00" w:val="clear" w:color="auto"/>
          </w:tcPr>
          <w:p>
            <w:pPr>
              <w:spacing w:before="0" w:after="0"/>
              <w:jc w:val="left"/>
            </w:pPr>
            <w:r>
              <w:rPr>
                <w:rFonts w:ascii="Arial" w:hAnsi="Arial"/>
                <w:b/>
                <w:color w:val="FFFFFF"/>
                <w:sz w:val="18"/>
              </w:rPr>
              <w:t>Frequency</w:t>
            </w:r>
          </w:p>
        </w:tc>
      </w:tr>
      <w:tr>
        <w:tc>
          <w:tcPr>
            <w:tcW w:type="dxa" w:w="4873"/>
          </w:tcPr>
          <w:p>
            <w:pPr>
              <w:spacing w:before="0" w:after="0"/>
              <w:jc w:val="left"/>
            </w:pPr>
            <w:r>
              <w:rPr>
                <w:rFonts w:ascii="Arial" w:hAnsi="Arial"/>
                <w:b w:val="0"/>
                <w:sz w:val="18"/>
              </w:rPr>
              <w:t>Monitor GST filing regularity monthly</w:t>
            </w:r>
          </w:p>
        </w:tc>
        <w:tc>
          <w:tcPr>
            <w:tcW w:type="dxa" w:w="4873"/>
          </w:tcPr>
          <w:p>
            <w:pPr>
              <w:spacing w:before="0" w:after="0"/>
              <w:jc w:val="center"/>
            </w:pPr>
            <w:r>
              <w:rPr>
                <w:rFonts w:ascii="Arial" w:hAnsi="Arial"/>
                <w:b w:val="0"/>
                <w:sz w:val="18"/>
              </w:rPr>
              <w:t>Monthly</w:t>
            </w:r>
          </w:p>
        </w:tc>
      </w:tr>
      <w:tr>
        <w:tc>
          <w:tcPr>
            <w:tcW w:type="dxa" w:w="4873"/>
          </w:tcPr>
          <w:p>
            <w:pPr>
              <w:spacing w:before="0" w:after="0"/>
              <w:jc w:val="left"/>
            </w:pPr>
            <w:r>
              <w:rPr>
                <w:rFonts w:ascii="Arial" w:hAnsi="Arial"/>
                <w:b w:val="0"/>
                <w:sz w:val="18"/>
              </w:rPr>
              <w:t>Track EMI payment pattern</w:t>
            </w:r>
          </w:p>
        </w:tc>
        <w:tc>
          <w:tcPr>
            <w:tcW w:type="dxa" w:w="4873"/>
          </w:tcPr>
          <w:p>
            <w:pPr>
              <w:spacing w:before="0" w:after="0"/>
              <w:jc w:val="center"/>
            </w:pPr>
            <w:r>
              <w:rPr>
                <w:rFonts w:ascii="Arial" w:hAnsi="Arial"/>
                <w:b w:val="0"/>
                <w:sz w:val="18"/>
              </w:rPr>
              <w:t>Quarterly</w:t>
            </w:r>
          </w:p>
        </w:tc>
      </w:tr>
      <w:tr>
        <w:tc>
          <w:tcPr>
            <w:tcW w:type="dxa" w:w="4873"/>
          </w:tcPr>
          <w:p>
            <w:pPr>
              <w:spacing w:before="0" w:after="0"/>
              <w:jc w:val="left"/>
            </w:pPr>
            <w:r>
              <w:rPr>
                <w:rFonts w:ascii="Arial" w:hAnsi="Arial"/>
                <w:b w:val="0"/>
                <w:sz w:val="18"/>
              </w:rPr>
              <w:t>Watch for sudden large cash withdrawals</w:t>
            </w:r>
          </w:p>
        </w:tc>
        <w:tc>
          <w:tcPr>
            <w:tcW w:type="dxa" w:w="4873"/>
          </w:tcPr>
          <w:p>
            <w:pPr>
              <w:spacing w:before="0" w:after="0"/>
              <w:jc w:val="center"/>
            </w:pPr>
            <w:r>
              <w:rPr>
                <w:rFonts w:ascii="Arial" w:hAnsi="Arial"/>
                <w:b w:val="0"/>
                <w:sz w:val="18"/>
              </w:rPr>
              <w:t>Quarterly</w:t>
            </w:r>
          </w:p>
        </w:tc>
      </w:tr>
    </w:tbl>
    <w:p/>
    <w:p>
      <w:pPr>
        <w:spacing w:before="200" w:after="80"/>
        <w:pBdr>
          <w:left w:val="single" w:sz="18" w:space="6" w:color="0d1f5c"/>
        </w:pBdr>
      </w:pPr>
      <w:r>
        <w:rPr>
          <w:rFonts w:ascii="Arial" w:hAnsi="Arial"/>
          <w:b/>
          <w:color w:val="1A3080"/>
          <w:sz w:val="20"/>
        </w:rPr>
        <w:t>SECTION 7 — RECOMMENDATION</w:t>
      </w:r>
    </w:p>
    <w:tbl>
      <w:tblPr>
        <w:tblStyle w:val="TableGrid"/>
        <w:tblW w:type="auto" w:w="0"/>
        <w:tblLook w:firstColumn="1" w:firstRow="1" w:lastColumn="0" w:lastRow="0" w:noHBand="0" w:noVBand="1" w:val="04A0"/>
      </w:tblPr>
      <w:tblGrid>
        <w:gridCol w:w="4873"/>
        <w:gridCol w:w="4873"/>
      </w:tblGrid>
      <w:tr>
        <w:tc>
          <w:tcPr>
            <w:tcW w:type="dxa" w:w="2268"/>
            <w:shd w:fill="e8edf8" w:val="clear" w:color="auto"/>
          </w:tcPr>
          <w:p>
            <w:pPr>
              <w:spacing w:before="0" w:after="0"/>
              <w:jc w:val="left"/>
            </w:pPr>
            <w:r>
              <w:rPr>
                <w:rFonts w:ascii="Arial" w:hAnsi="Arial"/>
                <w:b/>
                <w:sz w:val="18"/>
              </w:rPr>
              <w:t>Borrower</w:t>
            </w:r>
          </w:p>
        </w:tc>
        <w:tc>
          <w:tcPr>
            <w:tcW w:type="dxa" w:w="5386"/>
          </w:tcPr>
          <w:p>
            <w:pPr>
              <w:spacing w:before="0" w:after="0"/>
              <w:jc w:val="left"/>
            </w:pPr>
            <w:r>
              <w:rPr>
                <w:rFonts w:ascii="Arial" w:hAnsi="Arial"/>
                <w:b w:val="0"/>
                <w:sz w:val="18"/>
              </w:rPr>
              <w:t>Lakme</w:t>
            </w:r>
          </w:p>
        </w:tc>
      </w:tr>
      <w:tr>
        <w:tc>
          <w:tcPr>
            <w:tcW w:type="dxa" w:w="2268"/>
            <w:shd w:fill="e8edf8" w:val="clear" w:color="auto"/>
          </w:tcPr>
          <w:p>
            <w:pPr>
              <w:spacing w:before="0" w:after="0"/>
              <w:jc w:val="left"/>
            </w:pPr>
            <w:r>
              <w:rPr>
                <w:rFonts w:ascii="Arial" w:hAnsi="Arial"/>
                <w:b/>
                <w:sz w:val="18"/>
              </w:rPr>
              <w:t>Sanctioned Limit</w:t>
            </w:r>
          </w:p>
        </w:tc>
        <w:tc>
          <w:tcPr>
            <w:tcW w:type="dxa" w:w="5386"/>
          </w:tcPr>
          <w:p>
            <w:pPr>
              <w:spacing w:before="0" w:after="0"/>
              <w:jc w:val="left"/>
            </w:pPr>
            <w:r>
              <w:rPr>
                <w:rFonts w:ascii="Arial" w:hAnsi="Arial"/>
                <w:b w:val="0"/>
                <w:sz w:val="18"/>
              </w:rPr>
              <w:t>Rs. 2,307,250</w:t>
            </w:r>
          </w:p>
        </w:tc>
      </w:tr>
      <w:tr>
        <w:tc>
          <w:tcPr>
            <w:tcW w:type="dxa" w:w="2268"/>
            <w:shd w:fill="e8edf8" w:val="clear" w:color="auto"/>
          </w:tcPr>
          <w:p>
            <w:pPr>
              <w:spacing w:before="0" w:after="0"/>
              <w:jc w:val="left"/>
            </w:pPr>
            <w:r>
              <w:rPr>
                <w:rFonts w:ascii="Arial" w:hAnsi="Arial"/>
                <w:b/>
                <w:sz w:val="18"/>
              </w:rPr>
              <w:t>Interest Rate</w:t>
            </w:r>
          </w:p>
        </w:tc>
        <w:tc>
          <w:tcPr>
            <w:tcW w:type="dxa" w:w="5386"/>
          </w:tcPr>
          <w:p>
            <w:pPr>
              <w:spacing w:before="0" w:after="0"/>
              <w:jc w:val="left"/>
            </w:pPr>
            <w:r>
              <w:rPr>
                <w:rFonts w:ascii="Arial" w:hAnsi="Arial"/>
                <w:b w:val="0"/>
                <w:sz w:val="18"/>
              </w:rPr>
              <w:t>9.73% p.a.</w:t>
            </w:r>
          </w:p>
        </w:tc>
      </w:tr>
      <w:tr>
        <w:tc>
          <w:tcPr>
            <w:tcW w:type="dxa" w:w="2268"/>
            <w:shd w:fill="e8edf8" w:val="clear" w:color="auto"/>
          </w:tcPr>
          <w:p>
            <w:pPr>
              <w:spacing w:before="0" w:after="0"/>
              <w:jc w:val="left"/>
            </w:pPr>
            <w:r>
              <w:rPr>
                <w:rFonts w:ascii="Arial" w:hAnsi="Arial"/>
                <w:b/>
                <w:sz w:val="18"/>
              </w:rPr>
              <w:t>Primary Security</w:t>
            </w:r>
          </w:p>
        </w:tc>
        <w:tc>
          <w:tcPr>
            <w:tcW w:type="dxa" w:w="5386"/>
          </w:tcPr>
          <w:p>
            <w:pPr>
              <w:spacing w:before="0" w:after="0"/>
              <w:jc w:val="left"/>
            </w:pPr>
            <w:r>
              <w:rPr>
                <w:rFonts w:ascii="Arial" w:hAnsi="Arial"/>
                <w:b w:val="0"/>
                <w:sz w:val="18"/>
              </w:rPr>
              <w:t>Hypothecation of current assets</w:t>
            </w:r>
          </w:p>
        </w:tc>
      </w:tr>
      <w:tr>
        <w:tc>
          <w:tcPr>
            <w:tcW w:type="dxa" w:w="2268"/>
            <w:shd w:fill="e8edf8" w:val="clear" w:color="auto"/>
          </w:tcPr>
          <w:p>
            <w:pPr>
              <w:spacing w:before="0" w:after="0"/>
              <w:jc w:val="left"/>
            </w:pPr>
            <w:r>
              <w:rPr>
                <w:rFonts w:ascii="Arial" w:hAnsi="Arial"/>
                <w:b/>
                <w:sz w:val="18"/>
              </w:rPr>
              <w:t>Processing Fee</w:t>
            </w:r>
          </w:p>
        </w:tc>
        <w:tc>
          <w:tcPr>
            <w:tcW w:type="dxa" w:w="5386"/>
          </w:tcPr>
          <w:p>
            <w:pPr>
              <w:spacing w:before="0" w:after="0"/>
              <w:jc w:val="left"/>
            </w:pPr>
            <w:r>
              <w:rPr>
                <w:rFonts w:ascii="Arial" w:hAnsi="Arial"/>
                <w:b w:val="0"/>
                <w:sz w:val="18"/>
              </w:rPr>
              <w:t>0.50% + GST</w:t>
            </w:r>
          </w:p>
        </w:tc>
      </w:tr>
    </w:tbl>
    <w:p>
      <w:r>
        <w:rPr>
          <w:rFonts w:ascii="Arial" w:hAnsi="Arial"/>
          <w:b/>
          <w:color w:val="1A6B2A"/>
          <w:sz w:val="24"/>
        </w:rPr>
        <w:t>DECISION: APPROVED</w:t>
      </w:r>
    </w:p>
    <w:p>
      <w:r>
        <w:rPr>
          <w:rFonts w:ascii="Arial" w:hAnsi="Arial"/>
          <w:sz w:val="18"/>
        </w:rPr>
        <w:t>Decisive Factor: Conditional approval pending verification of GST reconciliation.</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C5068"/>
        <w:sz w:val="14"/>
      </w:rPr>
      <w:t>Ref: CAM/2026/LAKM/08052336  |  IntelliCredit  |  STRICTLY CONFIDENTIAL  |  05 Aug 2026  |  Intelli-Credit AI Engine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