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INTELLICREDIT</w:t>
      </w:r>
    </w:p>
    <w:p>
      <w:pPr>
        <w:jc w:val="center"/>
      </w:pPr>
      <w:r>
        <w:rPr>
          <w:rFonts w:ascii="Arial" w:hAnsi="Arial"/>
          <w:color w:val="4C5068"/>
          <w:sz w:val="18"/>
        </w:rPr>
        <w:t>AI-Powered Credit Intelligence Engine</w:t>
      </w:r>
    </w:p>
    <w:p/>
    <w:p>
      <w:pPr>
        <w:jc w:val="center"/>
      </w:pPr>
      <w:r>
        <w:rPr>
          <w:rFonts w:ascii="Arial" w:hAnsi="Arial"/>
          <w:b/>
          <w:color w:val="0D1F5C"/>
          <w:sz w:val="34"/>
        </w:rPr>
        <w:t>INVESTMENT ASSESSMENT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CIN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PAN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AABCL2345M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27AABCL9876R1ZX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Sector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Type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Amount Requested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None Cr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Tenure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 months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0.154 / 1.000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2,307,250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9.73% p.a.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CAM/2026/LAKM/08052339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05 August 2026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p>
      <w:r>
        <w:br w:type="page"/>
      </w:r>
    </w:p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1 — EXECUTIVE SUMMARY &amp; FINANCIAL ANALYSIS</w:t>
      </w:r>
    </w:p>
    <w:p>
      <w:r>
        <w:rPr>
          <w:rFonts w:ascii="Arial" w:hAnsi="Arial"/>
          <w:b/>
          <w:sz w:val="18"/>
        </w:rPr>
        <w:t>Decisive Factor: Conditional approval pending verification of GST reconciliation.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D/E Ratio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Bal.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11,850,000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2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8.5/10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7.65/10</w:t>
            </w:r>
          </w:p>
        </w:tc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3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1.5997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1.5751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1.2346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0.7344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4 — SWOT ANALYSIS</w:t>
      </w:r>
    </w:p>
    <w:p>
      <w:r>
        <w:rPr>
          <w:rFonts w:ascii="Arial" w:hAnsi="Arial"/>
          <w:b/>
          <w:sz w:val="18"/>
        </w:rPr>
        <w:t>STRENGTHS</w:t>
      </w:r>
    </w:p>
    <w:p>
      <w:pPr>
        <w:spacing w:after="20"/>
      </w:pPr>
      <w:r>
        <w:rPr>
          <w:rFonts w:ascii="Arial" w:hAnsi="Arial"/>
          <w:sz w:val="17"/>
        </w:rPr>
        <w:t xml:space="preserve">  • Excellent repayment capacity with a Capacity score of 8.5/10, indicating strong and consistent cash flows</w:t>
      </w:r>
    </w:p>
    <w:p>
      <w:pPr>
        <w:spacing w:after="20"/>
      </w:pPr>
      <w:r>
        <w:rPr>
          <w:rFonts w:ascii="Arial" w:hAnsi="Arial"/>
          <w:sz w:val="17"/>
        </w:rPr>
        <w:t xml:space="preserve">  • Strong capital base with a Capital score of 10.0/10, having a low debt-to-equity ratio of 0.5x and a net worth of Rs.745,000,000</w:t>
      </w:r>
    </w:p>
    <w:p>
      <w:pPr>
        <w:spacing w:after="20"/>
      </w:pPr>
      <w:r>
        <w:rPr>
          <w:rFonts w:ascii="Arial" w:hAnsi="Arial"/>
          <w:sz w:val="17"/>
        </w:rPr>
        <w:t xml:space="preserve">  • Healthy average balance of Rs.11,850,000 and no EMI bounces, showcasing a clean repayment record</w:t>
      </w:r>
    </w:p>
    <w:p>
      <w:r>
        <w:rPr>
          <w:rFonts w:ascii="Arial" w:hAnsi="Arial"/>
          <w:b/>
          <w:sz w:val="18"/>
        </w:rPr>
        <w:t>WEAKNESSES</w:t>
      </w:r>
    </w:p>
    <w:p>
      <w:pPr>
        <w:spacing w:after="20"/>
      </w:pPr>
      <w:r>
        <w:rPr>
          <w:rFonts w:ascii="Arial" w:hAnsi="Arial"/>
          <w:sz w:val="17"/>
        </w:rPr>
        <w:t xml:space="preserve">  • GSTR-2A vs 3B mismatch detected with a 38.55% variance, indicating potential GST filing issues</w:t>
      </w:r>
    </w:p>
    <w:p>
      <w:pPr>
        <w:spacing w:after="20"/>
      </w:pPr>
      <w:r>
        <w:rPr>
          <w:rFonts w:ascii="Arial" w:hAnsi="Arial"/>
          <w:sz w:val="17"/>
        </w:rPr>
        <w:t xml:space="preserve">  • Thin cash flow margin of 7.7%, which may impact the company's ability to meet its financial obligations</w:t>
      </w:r>
    </w:p>
    <w:p>
      <w:pPr>
        <w:spacing w:after="20"/>
      </w:pPr>
      <w:r>
        <w:rPr>
          <w:rFonts w:ascii="Arial" w:hAnsi="Arial"/>
          <w:sz w:val="17"/>
        </w:rPr>
        <w:t xml:space="preserve">  • Partial collateral coverage of 75%, which may not fully secure the loan in case of default</w:t>
      </w:r>
    </w:p>
    <w:p>
      <w:r>
        <w:rPr>
          <w:rFonts w:ascii="Arial" w:hAnsi="Arial"/>
          <w:b/>
          <w:sz w:val="18"/>
        </w:rPr>
        <w:t>OPPORTUNITIES</w:t>
      </w:r>
    </w:p>
    <w:p>
      <w:pPr>
        <w:spacing w:after="20"/>
      </w:pPr>
      <w:r>
        <w:rPr>
          <w:rFonts w:ascii="Arial" w:hAnsi="Arial"/>
          <w:sz w:val="17"/>
        </w:rPr>
        <w:t xml:space="preserve">  • Growing revenue, as evidenced by a 15% revenue growth in Q3, which can lead to increased cash flows and improved repayment capacity</w:t>
      </w:r>
    </w:p>
    <w:p>
      <w:pPr>
        <w:spacing w:after="20"/>
      </w:pPr>
      <w:r>
        <w:rPr>
          <w:rFonts w:ascii="Arial" w:hAnsi="Arial"/>
          <w:sz w:val="17"/>
        </w:rPr>
        <w:t xml:space="preserve">  • Neutral sector risk with a moderate score of 5/10, which may provide opportunities for growth and expansion</w:t>
      </w:r>
    </w:p>
    <w:p>
      <w:pPr>
        <w:spacing w:after="20"/>
      </w:pPr>
      <w:r>
        <w:rPr>
          <w:rFonts w:ascii="Arial" w:hAnsi="Arial"/>
          <w:sz w:val="17"/>
        </w:rPr>
        <w:t xml:space="preserve">  • Positive news articles highlighting the company's growth, which can enhance its reputation and attract new customers</w:t>
      </w:r>
    </w:p>
    <w:p>
      <w:r>
        <w:rPr>
          <w:rFonts w:ascii="Arial" w:hAnsi="Arial"/>
          <w:b/>
          <w:sz w:val="18"/>
        </w:rPr>
        <w:t>THREATS</w:t>
      </w:r>
    </w:p>
    <w:p>
      <w:pPr>
        <w:spacing w:after="20"/>
      </w:pPr>
      <w:r>
        <w:rPr>
          <w:rFonts w:ascii="Arial" w:hAnsi="Arial"/>
          <w:sz w:val="17"/>
        </w:rPr>
        <w:t xml:space="preserve">  • GST notice for ITC mismatch, which can lead to financial penalties and reputational damage</w:t>
      </w:r>
    </w:p>
    <w:p>
      <w:pPr>
        <w:spacing w:after="20"/>
      </w:pPr>
      <w:r>
        <w:rPr>
          <w:rFonts w:ascii="Arial" w:hAnsi="Arial"/>
          <w:sz w:val="17"/>
        </w:rPr>
        <w:t xml:space="preserve">  • Risk of sudden large cash withdrawals, which can impact the company's liquidity and repayment capacity</w:t>
      </w:r>
    </w:p>
    <w:p>
      <w:pPr>
        <w:spacing w:after="20"/>
      </w:pPr>
      <w:r>
        <w:rPr>
          <w:rFonts w:ascii="Arial" w:hAnsi="Arial"/>
          <w:sz w:val="17"/>
        </w:rPr>
        <w:t xml:space="preserve">  • Negative news articles, such as the one mentioning the GST notice, which can harm the company's reputation and affect its business</w:t>
      </w:r>
    </w:p>
    <w:p>
      <w:r>
        <w:t>Lakme's strong capital base, excellent repayment capacity, and growing revenue make it a viable borrower, but the company's GST filing issues, thin cash flow margin, and partial collateral coverage require close monitoring. With a low risk score of 0.154 and a conditional approval pending GST reconciliation, Lakme can mitigate its risks and capitalize on opportunities with proper management and oversight.</w:t>
      </w:r>
    </w:p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5 — EXTERNAL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News Risk Score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3.5/10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Negative News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Litigation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MCA Charges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r>
        <w:t>Found 2 articles: 1 negative, 1 positive. News risk score: 3.5/10. Top negative: 'Lakme faces GST notice for ITC mismatch' No litigation found. No MCA charges. No RBI/SEBI actions.</w:t>
      </w:r>
    </w:p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6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7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7 —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Borrower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Sanctioned Limit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2,307,250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9.73% p.a.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Primary Security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Hypothecation of current assets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Processing Fee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0.50% + GST</w:t>
            </w:r>
          </w:p>
        </w:tc>
      </w:tr>
    </w:tbl>
    <w:p>
      <w:r>
        <w:rPr>
          <w:rFonts w:ascii="Arial" w:hAnsi="Arial"/>
          <w:b/>
          <w:color w:val="1A6B2A"/>
          <w:sz w:val="24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4"/>
      </w:rPr>
      <w:t>Ref: CAM/2026/LAKM/08052339  |  IntelliCredit  |  STRICTLY CONFIDENTIAL  |  05 Aug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