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CAM/2026/RADI/03141002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fff4e5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B85C00"/>
                <w:sz w:val="18"/>
              </w:rPr>
              <w:t>CONDITIONAL APPROVAL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206,250,000 (2062.50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14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Radiant Infratech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07AABCR4521K1ZX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CAM/2026/RADI/03141002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CONDITIONAL APPROVAL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MEDIUM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0.350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206,250,000 (2062.50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11.30%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420,000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10,400,000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30%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30.0% of financial ratios could be auto-derived. Please ensure ITR and Bank Statement are uploaded.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2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Net worth not found in ITR — officer must enter manually.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3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D/E ratio could not be derived — debt or net worth missing.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character risk. Additional due diligence needed.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4.5/10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capacity. Cash flows need monitoring post-disbursement.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5.5/10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Moderate capital concerns. Leverage needs monitoring.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5.17/10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2.7801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2.0300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1.7705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1.3985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Further deterioration in GST compliance and potential tax audits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Increasing EMI bounces and overdraft usage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Decline in trade receivables recovery and increase in overdue amounts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Reject</w:t>
      </w:r>
    </w:p>
    <w:p>
      <w:pPr>
        <w:spacing w:after="40"/>
      </w:pPr>
      <w:r>
        <w:rPr>
          <w:rFonts w:ascii="Arial" w:hAnsi="Arial"/>
          <w:b/>
          <w:sz w:val="18"/>
        </w:rPr>
        <w:t>LIMIT: Rs.2062.50 Lakhs</w:t>
      </w:r>
    </w:p>
    <w:p>
      <w:pPr>
        <w:spacing w:after="40"/>
      </w:pPr>
      <w:r>
        <w:rPr>
          <w:rFonts w:ascii="Arial" w:hAnsi="Arial"/>
          <w:b/>
          <w:sz w:val="18"/>
        </w:rPr>
        <w:t>RATE: 11.30%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Significant ITC discrepancy detected with a variance of 153.33%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EMI bounces and low average monthly balance indicate liquidity issues -&gt;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significant news coverage or litigation found, but this is outweighed by other risk factors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Negative net worth, high debt-equity ratio, and low current ratio indicate poor financial health -&gt; increases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significant ITC discrepancy detected in the GST analysis, along with the company's poor financial health and liquidity issues, makes it a high-risk loan.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Further deterioration in GST compliance and potential tax audits</w:t>
      </w:r>
    </w:p>
    <w:p>
      <w:pPr>
        <w:spacing w:after="40"/>
      </w:pPr>
      <w:r>
        <w:rPr>
          <w:rFonts w:ascii="Arial" w:hAnsi="Arial"/>
          <w:b w:val="0"/>
          <w:sz w:val="18"/>
        </w:rPr>
        <w:t>- Increasing EMI bounces and overdraft usage</w:t>
      </w:r>
    </w:p>
    <w:p>
      <w:pPr>
        <w:spacing w:after="40"/>
      </w:pPr>
      <w:r>
        <w:rPr>
          <w:rFonts w:ascii="Arial" w:hAnsi="Arial"/>
          <w:b w:val="0"/>
          <w:sz w:val="18"/>
        </w:rPr>
        <w:t>- Decline in trade receivables recovery and increase in overdue amounts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NA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B85C00"/>
          <w:sz w:val="26"/>
        </w:rPr>
        <w:t>DECISION: CONDITIONAL APPROVAL</w:t>
      </w:r>
    </w:p>
    <w:p>
      <w:r>
        <w:rPr>
          <w:rFonts w:ascii="Arial" w:hAnsi="Arial"/>
          <w:sz w:val="18"/>
        </w:rPr>
        <w:t>Decisive Factor: The significant ITC discrepancy detected in the GST analysis, along with the company's poor financial health and liquidity issues, makes it a high-risk loan.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CAM/2026/RADI/03141002  |  Intelli-Credit Bank  |  STRICTLY CONFIDENTIAL  |  14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