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D1F5C"/>
          <w:sz w:val="28"/>
        </w:rPr>
        <w:t>INTELLICREDIT</w:t>
      </w:r>
    </w:p>
    <w:p>
      <w:pPr>
        <w:jc w:val="center"/>
      </w:pPr>
      <w:r>
        <w:rPr>
          <w:rFonts w:ascii="Arial" w:hAnsi="Arial"/>
          <w:color w:val="4C5068"/>
          <w:sz w:val="18"/>
        </w:rPr>
        <w:t>AI-Powered Credit Intelligence Engine</w:t>
      </w:r>
    </w:p>
    <w:p/>
    <w:p>
      <w:pPr>
        <w:jc w:val="center"/>
      </w:pPr>
      <w:r>
        <w:rPr>
          <w:rFonts w:ascii="Arial" w:hAnsi="Arial"/>
          <w:b/>
          <w:color w:val="0D1F5C"/>
          <w:sz w:val="34"/>
        </w:rPr>
        <w:t>INVESTMENT ASSESSMENT REPORT</w:t>
      </w:r>
    </w:p>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Company / Borrower</w:t>
            </w:r>
          </w:p>
        </w:tc>
        <w:tc>
          <w:tcPr>
            <w:tcW w:type="dxa" w:w="5386"/>
          </w:tcPr>
          <w:p>
            <w:pPr>
              <w:spacing w:before="0" w:after="0"/>
              <w:jc w:val="left"/>
            </w:pPr>
            <w:r>
              <w:rPr>
                <w:rFonts w:ascii="Arial" w:hAnsi="Arial"/>
                <w:b w:val="0"/>
                <w:sz w:val="18"/>
              </w:rPr>
              <w:t>Tata Capital Limited (TCL)</w:t>
            </w:r>
          </w:p>
        </w:tc>
      </w:tr>
      <w:tr>
        <w:tc>
          <w:tcPr>
            <w:tcW w:type="dxa" w:w="2268"/>
            <w:shd w:fill="e8edf8" w:val="clear" w:color="auto"/>
          </w:tcPr>
          <w:p>
            <w:pPr>
              <w:spacing w:before="0" w:after="0"/>
              <w:jc w:val="left"/>
            </w:pPr>
            <w:r>
              <w:rPr>
                <w:rFonts w:ascii="Arial" w:hAnsi="Arial"/>
                <w:b/>
                <w:sz w:val="18"/>
              </w:rPr>
              <w:t>CIN</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PAN</w:t>
            </w:r>
          </w:p>
        </w:tc>
        <w:tc>
          <w:tcPr>
            <w:tcW w:type="dxa" w:w="5386"/>
          </w:tcPr>
          <w:p>
            <w:pPr>
              <w:spacing w:before="0" w:after="0"/>
              <w:jc w:val="left"/>
            </w:pPr>
            <w:r>
              <w:rPr>
                <w:rFonts w:ascii="Arial" w:hAnsi="Arial"/>
                <w:b w:val="0"/>
                <w:sz w:val="18"/>
              </w:rPr>
              <w:t>AAACT2727Q</w:t>
            </w:r>
          </w:p>
        </w:tc>
      </w:tr>
      <w:tr>
        <w:tc>
          <w:tcPr>
            <w:tcW w:type="dxa" w:w="2268"/>
            <w:shd w:fill="e8edf8" w:val="clear" w:color="auto"/>
          </w:tcPr>
          <w:p>
            <w:pPr>
              <w:spacing w:before="0" w:after="0"/>
              <w:jc w:val="left"/>
            </w:pPr>
            <w:r>
              <w:rPr>
                <w:rFonts w:ascii="Arial" w:hAnsi="Arial"/>
                <w:b/>
                <w:sz w:val="18"/>
              </w:rPr>
              <w:t>GSTIN</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Sector</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Loan Type</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Amount Requested</w:t>
            </w:r>
          </w:p>
        </w:tc>
        <w:tc>
          <w:tcPr>
            <w:tcW w:type="dxa" w:w="5386"/>
          </w:tcPr>
          <w:p>
            <w:pPr>
              <w:spacing w:before="0" w:after="0"/>
              <w:jc w:val="left"/>
            </w:pPr>
            <w:r>
              <w:rPr>
                <w:rFonts w:ascii="Arial" w:hAnsi="Arial"/>
                <w:b w:val="0"/>
                <w:sz w:val="18"/>
              </w:rPr>
              <w:t>Rs. None Cr</w:t>
            </w:r>
          </w:p>
        </w:tc>
      </w:tr>
      <w:tr>
        <w:tc>
          <w:tcPr>
            <w:tcW w:type="dxa" w:w="2268"/>
            <w:shd w:fill="e8edf8" w:val="clear" w:color="auto"/>
          </w:tcPr>
          <w:p>
            <w:pPr>
              <w:spacing w:before="0" w:after="0"/>
              <w:jc w:val="left"/>
            </w:pPr>
            <w:r>
              <w:rPr>
                <w:rFonts w:ascii="Arial" w:hAnsi="Arial"/>
                <w:b/>
                <w:sz w:val="18"/>
              </w:rPr>
              <w:t>Tenure</w:t>
            </w:r>
          </w:p>
        </w:tc>
        <w:tc>
          <w:tcPr>
            <w:tcW w:type="dxa" w:w="5386"/>
          </w:tcPr>
          <w:p>
            <w:pPr>
              <w:spacing w:before="0" w:after="0"/>
              <w:jc w:val="left"/>
            </w:pPr>
            <w:r>
              <w:rPr>
                <w:rFonts w:ascii="Arial" w:hAnsi="Arial"/>
                <w:b w:val="0"/>
                <w:sz w:val="18"/>
              </w:rPr>
              <w:t>None months</w:t>
            </w:r>
          </w:p>
        </w:tc>
      </w:tr>
      <w:tr>
        <w:tc>
          <w:tcPr>
            <w:tcW w:type="dxa" w:w="2268"/>
            <w:shd w:fill="e8edf8" w:val="clear" w:color="auto"/>
          </w:tcPr>
          <w:p>
            <w:pPr>
              <w:spacing w:before="0" w:after="0"/>
              <w:jc w:val="left"/>
            </w:pPr>
            <w:r>
              <w:rPr>
                <w:rFonts w:ascii="Arial" w:hAnsi="Arial"/>
                <w:b/>
                <w:sz w:val="18"/>
              </w:rPr>
              <w:t>AI Decision</w:t>
            </w:r>
          </w:p>
        </w:tc>
        <w:tc>
          <w:tcPr>
            <w:tcW w:type="dxa" w:w="5386"/>
          </w:tcPr>
          <w:p>
            <w:pPr>
              <w:spacing w:before="0" w:after="0"/>
              <w:jc w:val="left"/>
            </w:pPr>
            <w:r>
              <w:rPr>
                <w:rFonts w:ascii="Arial" w:hAnsi="Arial"/>
                <w:b w:val="0"/>
                <w:sz w:val="18"/>
              </w:rPr>
              <w:t>CONDITIONAL APPROVAL</w:t>
            </w:r>
          </w:p>
        </w:tc>
      </w:tr>
      <w:tr>
        <w:tc>
          <w:tcPr>
            <w:tcW w:type="dxa" w:w="2268"/>
            <w:shd w:fill="e8edf8" w:val="clear" w:color="auto"/>
          </w:tcPr>
          <w:p>
            <w:pPr>
              <w:spacing w:before="0" w:after="0"/>
              <w:jc w:val="left"/>
            </w:pPr>
            <w:r>
              <w:rPr>
                <w:rFonts w:ascii="Arial" w:hAnsi="Arial"/>
                <w:b/>
                <w:sz w:val="18"/>
              </w:rPr>
              <w:t>Risk Score</w:t>
            </w:r>
          </w:p>
        </w:tc>
        <w:tc>
          <w:tcPr>
            <w:tcW w:type="dxa" w:w="5386"/>
          </w:tcPr>
          <w:p>
            <w:pPr>
              <w:spacing w:before="0" w:after="0"/>
              <w:jc w:val="left"/>
            </w:pPr>
            <w:r>
              <w:rPr>
                <w:rFonts w:ascii="Arial" w:hAnsi="Arial"/>
                <w:b w:val="0"/>
                <w:sz w:val="18"/>
              </w:rPr>
              <w:t>0.350 / 1.000</w:t>
            </w:r>
          </w:p>
        </w:tc>
      </w:tr>
      <w:tr>
        <w:tc>
          <w:tcPr>
            <w:tcW w:type="dxa" w:w="2268"/>
            <w:shd w:fill="e8edf8" w:val="clear" w:color="auto"/>
          </w:tcPr>
          <w:p>
            <w:pPr>
              <w:spacing w:before="0" w:after="0"/>
              <w:jc w:val="left"/>
            </w:pPr>
            <w:r>
              <w:rPr>
                <w:rFonts w:ascii="Arial" w:hAnsi="Arial"/>
                <w:b/>
                <w:sz w:val="18"/>
              </w:rPr>
              <w:t>Loan Limit</w:t>
            </w:r>
          </w:p>
        </w:tc>
        <w:tc>
          <w:tcPr>
            <w:tcW w:type="dxa" w:w="5386"/>
          </w:tcPr>
          <w:p>
            <w:pPr>
              <w:spacing w:before="0" w:after="0"/>
              <w:jc w:val="left"/>
            </w:pPr>
            <w:r>
              <w:rPr>
                <w:rFonts w:ascii="Arial" w:hAnsi="Arial"/>
                <w:b w:val="0"/>
                <w:sz w:val="18"/>
              </w:rPr>
              <w:t>Rs. 2,062,500</w:t>
            </w:r>
          </w:p>
        </w:tc>
      </w:tr>
      <w:tr>
        <w:tc>
          <w:tcPr>
            <w:tcW w:type="dxa" w:w="2268"/>
            <w:shd w:fill="e8edf8" w:val="clear" w:color="auto"/>
          </w:tcPr>
          <w:p>
            <w:pPr>
              <w:spacing w:before="0" w:after="0"/>
              <w:jc w:val="left"/>
            </w:pPr>
            <w:r>
              <w:rPr>
                <w:rFonts w:ascii="Arial" w:hAnsi="Arial"/>
                <w:b/>
                <w:sz w:val="18"/>
              </w:rPr>
              <w:t>Interest Rate</w:t>
            </w:r>
          </w:p>
        </w:tc>
        <w:tc>
          <w:tcPr>
            <w:tcW w:type="dxa" w:w="5386"/>
          </w:tcPr>
          <w:p>
            <w:pPr>
              <w:spacing w:before="0" w:after="0"/>
              <w:jc w:val="left"/>
            </w:pPr>
            <w:r>
              <w:rPr>
                <w:rFonts w:ascii="Arial" w:hAnsi="Arial"/>
                <w:b w:val="0"/>
                <w:sz w:val="18"/>
              </w:rPr>
              <w:t>11.30% p.a.</w:t>
            </w:r>
          </w:p>
        </w:tc>
      </w:tr>
      <w:tr>
        <w:tc>
          <w:tcPr>
            <w:tcW w:type="dxa" w:w="2268"/>
            <w:shd w:fill="e8edf8" w:val="clear" w:color="auto"/>
          </w:tcPr>
          <w:p>
            <w:pPr>
              <w:spacing w:before="0" w:after="0"/>
              <w:jc w:val="left"/>
            </w:pPr>
            <w:r>
              <w:rPr>
                <w:rFonts w:ascii="Arial" w:hAnsi="Arial"/>
                <w:b/>
                <w:sz w:val="18"/>
              </w:rPr>
              <w:t>Reference No.</w:t>
            </w:r>
          </w:p>
        </w:tc>
        <w:tc>
          <w:tcPr>
            <w:tcW w:type="dxa" w:w="5386"/>
          </w:tcPr>
          <w:p>
            <w:pPr>
              <w:spacing w:before="0" w:after="0"/>
              <w:jc w:val="left"/>
            </w:pPr>
            <w:r>
              <w:rPr>
                <w:rFonts w:ascii="Arial" w:hAnsi="Arial"/>
                <w:b w:val="0"/>
                <w:sz w:val="18"/>
              </w:rPr>
              <w:t>CAM/2026/TATA/03160009</w:t>
            </w:r>
          </w:p>
        </w:tc>
      </w:tr>
      <w:tr>
        <w:tc>
          <w:tcPr>
            <w:tcW w:type="dxa" w:w="2268"/>
            <w:shd w:fill="e8edf8" w:val="clear" w:color="auto"/>
          </w:tcPr>
          <w:p>
            <w:pPr>
              <w:spacing w:before="0" w:after="0"/>
              <w:jc w:val="left"/>
            </w:pPr>
            <w:r>
              <w:rPr>
                <w:rFonts w:ascii="Arial" w:hAnsi="Arial"/>
                <w:b/>
                <w:sz w:val="18"/>
              </w:rPr>
              <w:t>Report Date</w:t>
            </w:r>
          </w:p>
        </w:tc>
        <w:tc>
          <w:tcPr>
            <w:tcW w:type="dxa" w:w="5386"/>
          </w:tcPr>
          <w:p>
            <w:pPr>
              <w:spacing w:before="0" w:after="0"/>
              <w:jc w:val="left"/>
            </w:pPr>
            <w:r>
              <w:rPr>
                <w:rFonts w:ascii="Arial" w:hAnsi="Arial"/>
                <w:b w:val="0"/>
                <w:sz w:val="18"/>
              </w:rPr>
              <w:t>16 March 2026</w:t>
            </w:r>
          </w:p>
        </w:tc>
      </w:tr>
      <w:tr>
        <w:tc>
          <w:tcPr>
            <w:tcW w:type="dxa" w:w="2268"/>
            <w:shd w:fill="e8edf8" w:val="clear" w:color="auto"/>
          </w:tcPr>
          <w:p>
            <w:pPr>
              <w:spacing w:before="0" w:after="0"/>
              <w:jc w:val="left"/>
            </w:pPr>
            <w:r>
              <w:rPr>
                <w:rFonts w:ascii="Arial" w:hAnsi="Arial"/>
                <w:b/>
                <w:sz w:val="18"/>
              </w:rPr>
              <w:t>Prepared By</w:t>
            </w:r>
          </w:p>
        </w:tc>
        <w:tc>
          <w:tcPr>
            <w:tcW w:type="dxa" w:w="5386"/>
          </w:tcPr>
          <w:p>
            <w:pPr>
              <w:spacing w:before="0" w:after="0"/>
              <w:jc w:val="left"/>
            </w:pPr>
            <w:r>
              <w:rPr>
                <w:rFonts w:ascii="Arial" w:hAnsi="Arial"/>
                <w:b w:val="0"/>
                <w:sz w:val="18"/>
              </w:rPr>
              <w:t>Intelli-Credit AI Engine</w:t>
            </w:r>
          </w:p>
        </w:tc>
      </w:tr>
      <w:tr>
        <w:tc>
          <w:tcPr>
            <w:tcW w:type="dxa" w:w="2268"/>
            <w:shd w:fill="e8edf8" w:val="clear" w:color="auto"/>
          </w:tcPr>
          <w:p>
            <w:pPr>
              <w:spacing w:before="0" w:after="0"/>
              <w:jc w:val="left"/>
            </w:pPr>
            <w:r>
              <w:rPr>
                <w:rFonts w:ascii="Arial" w:hAnsi="Arial"/>
                <w:b/>
                <w:sz w:val="18"/>
              </w:rPr>
              <w:t>Classification</w:t>
            </w:r>
          </w:p>
        </w:tc>
        <w:tc>
          <w:tcPr>
            <w:tcW w:type="dxa" w:w="5386"/>
          </w:tcPr>
          <w:p>
            <w:pPr>
              <w:spacing w:before="0" w:after="0"/>
              <w:jc w:val="left"/>
            </w:pPr>
            <w:r>
              <w:rPr>
                <w:rFonts w:ascii="Arial" w:hAnsi="Arial"/>
                <w:b w:val="0"/>
                <w:sz w:val="18"/>
              </w:rPr>
              <w:t>STRICTLY CONFIDENTIAL</w:t>
            </w:r>
          </w:p>
        </w:tc>
      </w:tr>
    </w:tbl>
    <w:p/>
    <w:p>
      <w:r>
        <w:br w:type="page"/>
      </w:r>
    </w:p>
    <w:p>
      <w:pPr>
        <w:spacing w:before="200" w:after="80"/>
        <w:pBdr>
          <w:left w:val="single" w:sz="18" w:space="6" w:color="0d1f5c"/>
        </w:pBdr>
      </w:pPr>
      <w:r>
        <w:rPr>
          <w:rFonts w:ascii="Arial" w:hAnsi="Arial"/>
          <w:b/>
          <w:color w:val="1A3080"/>
          <w:sz w:val="20"/>
        </w:rPr>
        <w:t>SECTION 1 — EXECUTIVE SUMMARY &amp; FINANCIAL ANALYSIS</w:t>
      </w:r>
    </w:p>
    <w:p>
      <w:r>
        <w:rPr>
          <w:rFonts w:ascii="Arial" w:hAnsi="Arial"/>
          <w:b/>
          <w:sz w:val="18"/>
        </w:rPr>
        <w:t>Decisive Factor: The significant ITC discrepancy detected in the GST analysis is the single biggest reason for the conditional approval decision, as it raises concerns about potential tax evasion or misreporting.</w:t>
      </w:r>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D/E Ratio</w:t>
            </w:r>
          </w:p>
        </w:tc>
        <w:tc>
          <w:tcPr>
            <w:tcW w:type="dxa" w:w="5386"/>
          </w:tcPr>
          <w:p>
            <w:pPr>
              <w:spacing w:before="0" w:after="0"/>
              <w:jc w:val="left"/>
            </w:pPr>
            <w:r>
              <w:rPr>
                <w:rFonts w:ascii="Arial" w:hAnsi="Arial"/>
                <w:b w:val="0"/>
                <w:sz w:val="18"/>
              </w:rPr>
              <w:t>1.16x</w:t>
            </w:r>
          </w:p>
        </w:tc>
      </w:tr>
      <w:tr>
        <w:tc>
          <w:tcPr>
            <w:tcW w:type="dxa" w:w="2268"/>
            <w:shd w:fill="e8edf8" w:val="clear" w:color="auto"/>
          </w:tcPr>
          <w:p>
            <w:pPr>
              <w:spacing w:before="0" w:after="0"/>
              <w:jc w:val="left"/>
            </w:pPr>
            <w:r>
              <w:rPr>
                <w:rFonts w:ascii="Arial" w:hAnsi="Arial"/>
                <w:b/>
                <w:sz w:val="18"/>
              </w:rPr>
              <w:t>Net Worth</w:t>
            </w:r>
          </w:p>
        </w:tc>
        <w:tc>
          <w:tcPr>
            <w:tcW w:type="dxa" w:w="5386"/>
          </w:tcPr>
          <w:p>
            <w:pPr>
              <w:spacing w:before="0" w:after="0"/>
              <w:jc w:val="left"/>
            </w:pPr>
            <w:r>
              <w:rPr>
                <w:rFonts w:ascii="Arial" w:hAnsi="Arial"/>
                <w:b w:val="0"/>
                <w:sz w:val="18"/>
              </w:rPr>
              <w:t>Rs. 20,558,970,000</w:t>
            </w:r>
          </w:p>
        </w:tc>
      </w:tr>
      <w:tr>
        <w:tc>
          <w:tcPr>
            <w:tcW w:type="dxa" w:w="2268"/>
            <w:shd w:fill="e8edf8" w:val="clear" w:color="auto"/>
          </w:tcPr>
          <w:p>
            <w:pPr>
              <w:spacing w:before="0" w:after="0"/>
              <w:jc w:val="left"/>
            </w:pPr>
            <w:r>
              <w:rPr>
                <w:rFonts w:ascii="Arial" w:hAnsi="Arial"/>
                <w:b/>
                <w:sz w:val="18"/>
              </w:rPr>
              <w:t>DSCR</w:t>
            </w:r>
          </w:p>
        </w:tc>
        <w:tc>
          <w:tcPr>
            <w:tcW w:type="dxa" w:w="5386"/>
          </w:tcPr>
          <w:p>
            <w:pPr>
              <w:spacing w:before="0" w:after="0"/>
              <w:jc w:val="left"/>
            </w:pPr>
            <w:r>
              <w:rPr>
                <w:rFonts w:ascii="Arial" w:hAnsi="Arial"/>
                <w:b w:val="0"/>
                <w:sz w:val="18"/>
              </w:rPr>
              <w:t>1.10x</w:t>
            </w:r>
          </w:p>
        </w:tc>
      </w:tr>
      <w:tr>
        <w:tc>
          <w:tcPr>
            <w:tcW w:type="dxa" w:w="2268"/>
            <w:shd w:fill="e8edf8" w:val="clear" w:color="auto"/>
          </w:tcPr>
          <w:p>
            <w:pPr>
              <w:spacing w:before="0" w:after="0"/>
              <w:jc w:val="left"/>
            </w:pPr>
            <w:r>
              <w:rPr>
                <w:rFonts w:ascii="Arial" w:hAnsi="Arial"/>
                <w:b/>
                <w:sz w:val="18"/>
              </w:rPr>
              <w:t>Net Profit Margin</w:t>
            </w:r>
          </w:p>
        </w:tc>
        <w:tc>
          <w:tcPr>
            <w:tcW w:type="dxa" w:w="5386"/>
          </w:tcPr>
          <w:p>
            <w:pPr>
              <w:spacing w:before="0" w:after="0"/>
              <w:jc w:val="left"/>
            </w:pPr>
            <w:r>
              <w:rPr>
                <w:rFonts w:ascii="Arial" w:hAnsi="Arial"/>
                <w:b w:val="0"/>
                <w:sz w:val="18"/>
              </w:rPr>
              <w:t>11.8%</w:t>
            </w:r>
          </w:p>
        </w:tc>
      </w:tr>
      <w:tr>
        <w:tc>
          <w:tcPr>
            <w:tcW w:type="dxa" w:w="2268"/>
            <w:shd w:fill="e8edf8" w:val="clear" w:color="auto"/>
          </w:tcPr>
          <w:p>
            <w:pPr>
              <w:spacing w:before="0" w:after="0"/>
              <w:jc w:val="left"/>
            </w:pPr>
            <w:r>
              <w:rPr>
                <w:rFonts w:ascii="Arial" w:hAnsi="Arial"/>
                <w:b/>
                <w:sz w:val="18"/>
              </w:rPr>
              <w:t>Avg Monthly Bal.</w:t>
            </w:r>
          </w:p>
        </w:tc>
        <w:tc>
          <w:tcPr>
            <w:tcW w:type="dxa" w:w="5386"/>
          </w:tcPr>
          <w:p>
            <w:pPr>
              <w:spacing w:before="0" w:after="0"/>
              <w:jc w:val="left"/>
            </w:pPr>
            <w:r>
              <w:rPr>
                <w:rFonts w:ascii="Arial" w:hAnsi="Arial"/>
                <w:b w:val="0"/>
                <w:sz w:val="18"/>
              </w:rPr>
              <w:t>Rs. 11,850,000,000</w:t>
            </w:r>
          </w:p>
        </w:tc>
      </w:tr>
      <w:tr>
        <w:tc>
          <w:tcPr>
            <w:tcW w:type="dxa" w:w="2268"/>
            <w:shd w:fill="e8edf8" w:val="clear" w:color="auto"/>
          </w:tcPr>
          <w:p>
            <w:pPr>
              <w:spacing w:before="0" w:after="0"/>
              <w:jc w:val="left"/>
            </w:pPr>
            <w:r>
              <w:rPr>
                <w:rFonts w:ascii="Arial" w:hAnsi="Arial"/>
                <w:b/>
                <w:sz w:val="18"/>
              </w:rPr>
              <w:t>Data Completeness</w:t>
            </w:r>
          </w:p>
        </w:tc>
        <w:tc>
          <w:tcPr>
            <w:tcW w:type="dxa" w:w="5386"/>
          </w:tcPr>
          <w:p>
            <w:pPr>
              <w:spacing w:before="0" w:after="0"/>
              <w:jc w:val="left"/>
            </w:pPr>
            <w:r>
              <w:rPr>
                <w:rFonts w:ascii="Arial" w:hAnsi="Arial"/>
                <w:b w:val="0"/>
                <w:sz w:val="18"/>
              </w:rPr>
              <w:t>70%</w:t>
            </w:r>
          </w:p>
        </w:tc>
      </w:tr>
    </w:tbl>
    <w:p/>
    <w:p>
      <w:pPr>
        <w:spacing w:before="200" w:after="80"/>
        <w:pBdr>
          <w:left w:val="single" w:sz="18" w:space="6" w:color="0d1f5c"/>
        </w:pBdr>
      </w:pPr>
      <w:r>
        <w:rPr>
          <w:rFonts w:ascii="Arial" w:hAnsi="Arial"/>
          <w:b/>
          <w:color w:val="1A3080"/>
          <w:sz w:val="20"/>
        </w:rPr>
        <w:t>SECTION 2 — FIVE Cs CREDIT ANALYSIS</w:t>
      </w:r>
    </w:p>
    <w:tbl>
      <w:tblPr>
        <w:tblStyle w:val="TableGrid"/>
        <w:tblW w:type="auto" w:w="0"/>
        <w:tblLook w:firstColumn="1" w:firstRow="1" w:lastColumn="0" w:lastRow="0" w:noHBand="0" w:noVBand="1" w:val="04A0"/>
      </w:tblPr>
      <w:tblGrid>
        <w:gridCol w:w="3249"/>
        <w:gridCol w:w="3249"/>
        <w:gridCol w:w="3249"/>
      </w:tblGrid>
      <w:tr>
        <w:tc>
          <w:tcPr>
            <w:tcW w:type="dxa" w:w="3249"/>
            <w:shd w:fill="0d1f5c" w:val="clear" w:color="auto"/>
          </w:tcPr>
          <w:p>
            <w:pPr>
              <w:spacing w:before="0" w:after="0"/>
              <w:jc w:val="left"/>
            </w:pPr>
            <w:r>
              <w:rPr>
                <w:rFonts w:ascii="Arial" w:hAnsi="Arial"/>
                <w:b/>
                <w:color w:val="FFFFFF"/>
                <w:sz w:val="18"/>
              </w:rPr>
              <w:t>Parameter</w:t>
            </w:r>
          </w:p>
        </w:tc>
        <w:tc>
          <w:tcPr>
            <w:tcW w:type="dxa" w:w="3249"/>
            <w:shd w:fill="0d1f5c" w:val="clear" w:color="auto"/>
          </w:tcPr>
          <w:p>
            <w:pPr>
              <w:spacing w:before="0" w:after="0"/>
              <w:jc w:val="left"/>
            </w:pPr>
            <w:r>
              <w:rPr>
                <w:rFonts w:ascii="Arial" w:hAnsi="Arial"/>
                <w:b/>
                <w:color w:val="FFFFFF"/>
                <w:sz w:val="18"/>
              </w:rPr>
              <w:t>Score</w:t>
            </w:r>
          </w:p>
        </w:tc>
        <w:tc>
          <w:tcPr>
            <w:tcW w:type="dxa" w:w="3249"/>
            <w:shd w:fill="0d1f5c" w:val="clear" w:color="auto"/>
          </w:tcPr>
          <w:p>
            <w:pPr>
              <w:spacing w:before="0" w:after="0"/>
              <w:jc w:val="left"/>
            </w:pPr>
            <w:r>
              <w:rPr>
                <w:rFonts w:ascii="Arial" w:hAnsi="Arial"/>
                <w:b/>
                <w:color w:val="FFFFFF"/>
                <w:sz w:val="18"/>
              </w:rPr>
              <w:t>Assessment</w:t>
            </w:r>
          </w:p>
        </w:tc>
      </w:tr>
      <w:tr>
        <w:tc>
          <w:tcPr>
            <w:tcW w:type="dxa" w:w="3249"/>
          </w:tcPr>
          <w:p>
            <w:pPr>
              <w:spacing w:before="0" w:after="0"/>
              <w:jc w:val="left"/>
            </w:pPr>
            <w:r>
              <w:rPr>
                <w:rFonts w:ascii="Arial" w:hAnsi="Arial"/>
                <w:b/>
                <w:sz w:val="18"/>
              </w:rPr>
              <w:t>Character</w:t>
            </w:r>
          </w:p>
        </w:tc>
        <w:tc>
          <w:tcPr>
            <w:tcW w:type="dxa" w:w="3249"/>
          </w:tcPr>
          <w:p>
            <w:pPr>
              <w:spacing w:before="0" w:after="0"/>
              <w:jc w:val="center"/>
            </w:pPr>
            <w:r>
              <w:rPr>
                <w:rFonts w:ascii="Arial" w:hAnsi="Arial"/>
                <w:b w:val="0"/>
                <w:sz w:val="18"/>
              </w:rPr>
              <w:t>6.0/10</w:t>
            </w:r>
          </w:p>
        </w:tc>
        <w:tc>
          <w:tcPr>
            <w:tcW w:type="dxa" w:w="3249"/>
          </w:tcPr>
          <w:p>
            <w:pPr>
              <w:spacing w:before="0" w:after="0"/>
              <w:jc w:val="left"/>
            </w:pPr>
            <w:r>
              <w:rPr>
                <w:rFonts w:ascii="Arial" w:hAnsi="Arial"/>
                <w:b w:val="0"/>
                <w:sz w:val="18"/>
              </w:rPr>
              <w:t>Good character with minor concerns. Monitor regularly.</w:t>
            </w:r>
          </w:p>
        </w:tc>
      </w:tr>
      <w:tr>
        <w:tc>
          <w:tcPr>
            <w:tcW w:type="dxa" w:w="3249"/>
          </w:tcPr>
          <w:p>
            <w:pPr>
              <w:spacing w:before="0" w:after="0"/>
              <w:jc w:val="left"/>
            </w:pPr>
            <w:r>
              <w:rPr>
                <w:rFonts w:ascii="Arial" w:hAnsi="Arial"/>
                <w:b/>
                <w:sz w:val="18"/>
              </w:rPr>
              <w:t>Capacity</w:t>
            </w:r>
          </w:p>
        </w:tc>
        <w:tc>
          <w:tcPr>
            <w:tcW w:type="dxa" w:w="3249"/>
          </w:tcPr>
          <w:p>
            <w:pPr>
              <w:spacing w:before="0" w:after="0"/>
              <w:jc w:val="center"/>
            </w:pPr>
            <w:r>
              <w:rPr>
                <w:rFonts w:ascii="Arial" w:hAnsi="Arial"/>
                <w:b w:val="0"/>
                <w:sz w:val="18"/>
              </w:rPr>
              <w:t>7.5/10</w:t>
            </w:r>
          </w:p>
        </w:tc>
        <w:tc>
          <w:tcPr>
            <w:tcW w:type="dxa" w:w="3249"/>
          </w:tcPr>
          <w:p>
            <w:pPr>
              <w:spacing w:before="0" w:after="0"/>
              <w:jc w:val="left"/>
            </w:pPr>
            <w:r>
              <w:rPr>
                <w:rFonts w:ascii="Arial" w:hAnsi="Arial"/>
                <w:b w:val="0"/>
                <w:sz w:val="18"/>
              </w:rPr>
              <w:t>Good capacity with adequate cash flows to service debt.</w:t>
            </w:r>
          </w:p>
        </w:tc>
      </w:tr>
      <w:tr>
        <w:tc>
          <w:tcPr>
            <w:tcW w:type="dxa" w:w="3249"/>
          </w:tcPr>
          <w:p>
            <w:pPr>
              <w:spacing w:before="0" w:after="0"/>
              <w:jc w:val="left"/>
            </w:pPr>
            <w:r>
              <w:rPr>
                <w:rFonts w:ascii="Arial" w:hAnsi="Arial"/>
                <w:b/>
                <w:sz w:val="18"/>
              </w:rPr>
              <w:t>Capital</w:t>
            </w:r>
          </w:p>
        </w:tc>
        <w:tc>
          <w:tcPr>
            <w:tcW w:type="dxa" w:w="3249"/>
          </w:tcPr>
          <w:p>
            <w:pPr>
              <w:spacing w:before="0" w:after="0"/>
              <w:jc w:val="center"/>
            </w:pPr>
            <w:r>
              <w:rPr>
                <w:rFonts w:ascii="Arial" w:hAnsi="Arial"/>
                <w:b w:val="0"/>
                <w:sz w:val="18"/>
              </w:rPr>
              <w:t>9.5/10</w:t>
            </w:r>
          </w:p>
        </w:tc>
        <w:tc>
          <w:tcPr>
            <w:tcW w:type="dxa" w:w="3249"/>
          </w:tcPr>
          <w:p>
            <w:pPr>
              <w:spacing w:before="0" w:after="0"/>
              <w:jc w:val="left"/>
            </w:pPr>
            <w:r>
              <w:rPr>
                <w:rFonts w:ascii="Arial" w:hAnsi="Arial"/>
                <w:b w:val="0"/>
                <w:sz w:val="18"/>
              </w:rPr>
              <w:t>Strong capital base. Well-capitalized with low leverage.</w:t>
            </w:r>
          </w:p>
        </w:tc>
      </w:tr>
      <w:tr>
        <w:tc>
          <w:tcPr>
            <w:tcW w:type="dxa" w:w="3249"/>
          </w:tcPr>
          <w:p>
            <w:pPr>
              <w:spacing w:before="0" w:after="0"/>
              <w:jc w:val="left"/>
            </w:pPr>
            <w:r>
              <w:rPr>
                <w:rFonts w:ascii="Arial" w:hAnsi="Arial"/>
                <w:b/>
                <w:sz w:val="18"/>
              </w:rPr>
              <w:t>Collateral</w:t>
            </w:r>
          </w:p>
        </w:tc>
        <w:tc>
          <w:tcPr>
            <w:tcW w:type="dxa" w:w="3249"/>
          </w:tcPr>
          <w:p>
            <w:pPr>
              <w:spacing w:before="0" w:after="0"/>
              <w:jc w:val="center"/>
            </w:pPr>
            <w:r>
              <w:rPr>
                <w:rFonts w:ascii="Arial" w:hAnsi="Arial"/>
                <w:b w:val="0"/>
                <w:sz w:val="18"/>
              </w:rPr>
              <w:t>6.0/10</w:t>
            </w:r>
          </w:p>
        </w:tc>
        <w:tc>
          <w:tcPr>
            <w:tcW w:type="dxa" w:w="3249"/>
          </w:tcPr>
          <w:p>
            <w:pPr>
              <w:spacing w:before="0" w:after="0"/>
              <w:jc w:val="left"/>
            </w:pPr>
            <w:r>
              <w:rPr>
                <w:rFonts w:ascii="Arial" w:hAnsi="Arial"/>
                <w:b w:val="0"/>
                <w:sz w:val="18"/>
              </w:rPr>
              <w:t>Adequate collateral. Loan well-secured.</w:t>
            </w:r>
          </w:p>
        </w:tc>
      </w:tr>
      <w:tr>
        <w:tc>
          <w:tcPr>
            <w:tcW w:type="dxa" w:w="3249"/>
          </w:tcPr>
          <w:p>
            <w:pPr>
              <w:spacing w:before="0" w:after="0"/>
              <w:jc w:val="left"/>
            </w:pPr>
            <w:r>
              <w:rPr>
                <w:rFonts w:ascii="Arial" w:hAnsi="Arial"/>
                <w:b/>
                <w:sz w:val="18"/>
              </w:rPr>
              <w:t>Conditions</w:t>
            </w:r>
          </w:p>
        </w:tc>
        <w:tc>
          <w:tcPr>
            <w:tcW w:type="dxa" w:w="3249"/>
          </w:tcPr>
          <w:p>
            <w:pPr>
              <w:spacing w:before="0" w:after="0"/>
              <w:jc w:val="center"/>
            </w:pPr>
            <w:r>
              <w:rPr>
                <w:rFonts w:ascii="Arial" w:hAnsi="Arial"/>
                <w:b w:val="0"/>
                <w:sz w:val="18"/>
              </w:rPr>
              <w:t>7.0/10</w:t>
            </w:r>
          </w:p>
        </w:tc>
        <w:tc>
          <w:tcPr>
            <w:tcW w:type="dxa" w:w="3249"/>
          </w:tcPr>
          <w:p>
            <w:pPr>
              <w:spacing w:before="0" w:after="0"/>
              <w:jc w:val="left"/>
            </w:pPr>
            <w:r>
              <w:rPr>
                <w:rFonts w:ascii="Arial" w:hAnsi="Arial"/>
                <w:b w:val="0"/>
                <w:sz w:val="18"/>
              </w:rPr>
              <w:t>Neutral conditions. Standard sector risk.</w:t>
            </w:r>
          </w:p>
        </w:tc>
      </w:tr>
      <w:tr>
        <w:tc>
          <w:tcPr>
            <w:tcW w:type="dxa" w:w="3249"/>
            <w:shd w:fill="e8edf8" w:val="clear" w:color="auto"/>
          </w:tcPr>
          <w:p>
            <w:pPr>
              <w:spacing w:before="0" w:after="0"/>
              <w:jc w:val="left"/>
            </w:pPr>
            <w:r>
              <w:rPr>
                <w:rFonts w:ascii="Arial" w:hAnsi="Arial"/>
                <w:b/>
                <w:sz w:val="18"/>
              </w:rPr>
              <w:t>OVERALL</w:t>
            </w:r>
          </w:p>
        </w:tc>
        <w:tc>
          <w:tcPr>
            <w:tcW w:type="dxa" w:w="3249"/>
            <w:shd w:fill="e8edf8" w:val="clear" w:color="auto"/>
          </w:tcPr>
          <w:p>
            <w:pPr>
              <w:spacing w:before="0" w:after="0"/>
              <w:jc w:val="center"/>
            </w:pPr>
            <w:r>
              <w:rPr>
                <w:rFonts w:ascii="Arial" w:hAnsi="Arial"/>
                <w:b/>
                <w:sz w:val="18"/>
              </w:rPr>
              <w:t>7.25/10</w:t>
            </w:r>
          </w:p>
        </w:tc>
        <w:tc>
          <w:tcPr>
            <w:tcW w:type="dxa" w:w="3249"/>
            <w:shd w:fill="e8edf8" w:val="clear" w:color="auto"/>
          </w:tcPr>
          <w:p>
            <w:pPr>
              <w:spacing w:before="0" w:after="0"/>
              <w:jc w:val="left"/>
            </w:pPr>
            <w:r>
              <w:rPr>
                <w:rFonts w:ascii="Arial" w:hAnsi="Arial"/>
                <w:b/>
                <w:sz w:val="18"/>
              </w:rPr>
              <w:t>Weighted average</w:t>
            </w:r>
          </w:p>
        </w:tc>
      </w:tr>
    </w:tbl>
    <w:p/>
    <w:p>
      <w:pPr>
        <w:spacing w:before="200" w:after="80"/>
        <w:pBdr>
          <w:left w:val="single" w:sz="18" w:space="6" w:color="0d1f5c"/>
        </w:pBdr>
      </w:pPr>
      <w:r>
        <w:rPr>
          <w:rFonts w:ascii="Arial" w:hAnsi="Arial"/>
          <w:b/>
          <w:color w:val="1A3080"/>
          <w:sz w:val="20"/>
        </w:rPr>
        <w:t>SECTION 3 — AI RISK DRIVERS (SHAP)</w:t>
      </w:r>
    </w:p>
    <w:tbl>
      <w:tblPr>
        <w:tblStyle w:val="TableGrid"/>
        <w:tblW w:type="auto" w:w="0"/>
        <w:tblLook w:firstColumn="1" w:firstRow="1" w:lastColumn="0" w:lastRow="0" w:noHBand="0" w:noVBand="1" w:val="04A0"/>
      </w:tblPr>
      <w:tblGrid>
        <w:gridCol w:w="3249"/>
        <w:gridCol w:w="3249"/>
        <w:gridCol w:w="3249"/>
      </w:tblGrid>
      <w:tr>
        <w:tc>
          <w:tcPr>
            <w:tcW w:type="dxa" w:w="3249"/>
            <w:shd w:fill="0d1f5c" w:val="clear" w:color="auto"/>
          </w:tcPr>
          <w:p>
            <w:pPr>
              <w:spacing w:before="0" w:after="0"/>
              <w:jc w:val="left"/>
            </w:pPr>
            <w:r>
              <w:rPr>
                <w:rFonts w:ascii="Arial" w:hAnsi="Arial"/>
                <w:b/>
                <w:color w:val="FFFFFF"/>
                <w:sz w:val="18"/>
              </w:rPr>
              <w:t>Factor</w:t>
            </w:r>
          </w:p>
        </w:tc>
        <w:tc>
          <w:tcPr>
            <w:tcW w:type="dxa" w:w="3249"/>
            <w:shd w:fill="0d1f5c" w:val="clear" w:color="auto"/>
          </w:tcPr>
          <w:p>
            <w:pPr>
              <w:spacing w:before="0" w:after="0"/>
              <w:jc w:val="left"/>
            </w:pPr>
            <w:r>
              <w:rPr>
                <w:rFonts w:ascii="Arial" w:hAnsi="Arial"/>
                <w:b/>
                <w:color w:val="FFFFFF"/>
                <w:sz w:val="18"/>
              </w:rPr>
              <w:t>SHAP Impact</w:t>
            </w:r>
          </w:p>
        </w:tc>
        <w:tc>
          <w:tcPr>
            <w:tcW w:type="dxa" w:w="3249"/>
            <w:shd w:fill="0d1f5c" w:val="clear" w:color="auto"/>
          </w:tcPr>
          <w:p>
            <w:pPr>
              <w:spacing w:before="0" w:after="0"/>
              <w:jc w:val="left"/>
            </w:pPr>
            <w:r>
              <w:rPr>
                <w:rFonts w:ascii="Arial" w:hAnsi="Arial"/>
                <w:b/>
                <w:color w:val="FFFFFF"/>
                <w:sz w:val="18"/>
              </w:rPr>
              <w:t>Direction</w:t>
            </w:r>
          </w:p>
        </w:tc>
      </w:tr>
      <w:tr>
        <w:tc>
          <w:tcPr>
            <w:tcW w:type="dxa" w:w="3249"/>
          </w:tcPr>
          <w:p>
            <w:pPr>
              <w:spacing w:before="0" w:after="0"/>
              <w:jc w:val="left"/>
            </w:pPr>
            <w:r>
              <w:rPr>
                <w:rFonts w:ascii="Arial" w:hAnsi="Arial"/>
                <w:b w:val="0"/>
                <w:sz w:val="18"/>
              </w:rPr>
              <w:t>GSTR 2A vs 3B Variance</w:t>
            </w:r>
          </w:p>
        </w:tc>
        <w:tc>
          <w:tcPr>
            <w:tcW w:type="dxa" w:w="3249"/>
          </w:tcPr>
          <w:p>
            <w:pPr>
              <w:spacing w:before="0" w:after="0"/>
              <w:jc w:val="center"/>
            </w:pPr>
            <w:r>
              <w:rPr>
                <w:rFonts w:ascii="Arial" w:hAnsi="Arial"/>
                <w:b w:val="0"/>
                <w:sz w:val="18"/>
              </w:rPr>
              <w:t>2.5516</w:t>
            </w:r>
          </w:p>
        </w:tc>
        <w:tc>
          <w:tcPr>
            <w:tcW w:type="dxa" w:w="3249"/>
          </w:tcPr>
          <w:p>
            <w:pPr>
              <w:spacing w:before="0" w:after="0"/>
              <w:jc w:val="left"/>
            </w:pPr>
            <w:r>
              <w:rPr>
                <w:rFonts w:ascii="Arial" w:hAnsi="Arial"/>
                <w:b w:val="0"/>
                <w:sz w:val="18"/>
              </w:rPr>
              <w:t>increases risk</w:t>
            </w:r>
          </w:p>
        </w:tc>
      </w:tr>
      <w:tr>
        <w:tc>
          <w:tcPr>
            <w:tcW w:type="dxa" w:w="3249"/>
          </w:tcPr>
          <w:p>
            <w:pPr>
              <w:spacing w:before="0" w:after="0"/>
              <w:jc w:val="left"/>
            </w:pPr>
            <w:r>
              <w:rPr>
                <w:rFonts w:ascii="Arial" w:hAnsi="Arial"/>
                <w:b w:val="0"/>
                <w:sz w:val="18"/>
              </w:rPr>
              <w:t>Active Litigation</w:t>
            </w:r>
          </w:p>
        </w:tc>
        <w:tc>
          <w:tcPr>
            <w:tcW w:type="dxa" w:w="3249"/>
          </w:tcPr>
          <w:p>
            <w:pPr>
              <w:spacing w:before="0" w:after="0"/>
              <w:jc w:val="center"/>
            </w:pPr>
            <w:r>
              <w:rPr>
                <w:rFonts w:ascii="Arial" w:hAnsi="Arial"/>
                <w:b w:val="0"/>
                <w:sz w:val="18"/>
              </w:rPr>
              <w:t>1.5582</w:t>
            </w:r>
          </w:p>
        </w:tc>
        <w:tc>
          <w:tcPr>
            <w:tcW w:type="dxa" w:w="3249"/>
          </w:tcPr>
          <w:p>
            <w:pPr>
              <w:spacing w:before="0" w:after="0"/>
              <w:jc w:val="left"/>
            </w:pPr>
            <w:r>
              <w:rPr>
                <w:rFonts w:ascii="Arial" w:hAnsi="Arial"/>
                <w:b w:val="0"/>
                <w:sz w:val="18"/>
              </w:rPr>
              <w:t>decreases risk</w:t>
            </w:r>
          </w:p>
        </w:tc>
      </w:tr>
      <w:tr>
        <w:tc>
          <w:tcPr>
            <w:tcW w:type="dxa" w:w="3249"/>
          </w:tcPr>
          <w:p>
            <w:pPr>
              <w:spacing w:before="0" w:after="0"/>
              <w:jc w:val="left"/>
            </w:pPr>
            <w:r>
              <w:rPr>
                <w:rFonts w:ascii="Arial" w:hAnsi="Arial"/>
                <w:b w:val="0"/>
                <w:sz w:val="18"/>
              </w:rPr>
              <w:t>EMI Bounce Count</w:t>
            </w:r>
          </w:p>
        </w:tc>
        <w:tc>
          <w:tcPr>
            <w:tcW w:type="dxa" w:w="3249"/>
          </w:tcPr>
          <w:p>
            <w:pPr>
              <w:spacing w:before="0" w:after="0"/>
              <w:jc w:val="center"/>
            </w:pPr>
            <w:r>
              <w:rPr>
                <w:rFonts w:ascii="Arial" w:hAnsi="Arial"/>
                <w:b w:val="0"/>
                <w:sz w:val="18"/>
              </w:rPr>
              <w:t>1.5178</w:t>
            </w:r>
          </w:p>
        </w:tc>
        <w:tc>
          <w:tcPr>
            <w:tcW w:type="dxa" w:w="3249"/>
          </w:tcPr>
          <w:p>
            <w:pPr>
              <w:spacing w:before="0" w:after="0"/>
              <w:jc w:val="left"/>
            </w:pPr>
            <w:r>
              <w:rPr>
                <w:rFonts w:ascii="Arial" w:hAnsi="Arial"/>
                <w:b w:val="0"/>
                <w:sz w:val="18"/>
              </w:rPr>
              <w:t>decreases risk</w:t>
            </w:r>
          </w:p>
        </w:tc>
      </w:tr>
      <w:tr>
        <w:tc>
          <w:tcPr>
            <w:tcW w:type="dxa" w:w="3249"/>
          </w:tcPr>
          <w:p>
            <w:pPr>
              <w:spacing w:before="0" w:after="0"/>
              <w:jc w:val="left"/>
            </w:pPr>
            <w:r>
              <w:rPr>
                <w:rFonts w:ascii="Arial" w:hAnsi="Arial"/>
                <w:b w:val="0"/>
                <w:sz w:val="18"/>
              </w:rPr>
              <w:t>GST Filing Regularity</w:t>
            </w:r>
          </w:p>
        </w:tc>
        <w:tc>
          <w:tcPr>
            <w:tcW w:type="dxa" w:w="3249"/>
          </w:tcPr>
          <w:p>
            <w:pPr>
              <w:spacing w:before="0" w:after="0"/>
              <w:jc w:val="center"/>
            </w:pPr>
            <w:r>
              <w:rPr>
                <w:rFonts w:ascii="Arial" w:hAnsi="Arial"/>
                <w:b w:val="0"/>
                <w:sz w:val="18"/>
              </w:rPr>
              <w:t>1.2845</w:t>
            </w:r>
          </w:p>
        </w:tc>
        <w:tc>
          <w:tcPr>
            <w:tcW w:type="dxa" w:w="3249"/>
          </w:tcPr>
          <w:p>
            <w:pPr>
              <w:spacing w:before="0" w:after="0"/>
              <w:jc w:val="left"/>
            </w:pPr>
            <w:r>
              <w:rPr>
                <w:rFonts w:ascii="Arial" w:hAnsi="Arial"/>
                <w:b w:val="0"/>
                <w:sz w:val="18"/>
              </w:rPr>
              <w:t>increases risk</w:t>
            </w:r>
          </w:p>
        </w:tc>
      </w:tr>
    </w:tbl>
    <w:p/>
    <w:p>
      <w:pPr>
        <w:spacing w:before="200" w:after="80"/>
        <w:pBdr>
          <w:left w:val="single" w:sz="18" w:space="6" w:color="0d1f5c"/>
        </w:pBdr>
      </w:pPr>
      <w:r>
        <w:rPr>
          <w:rFonts w:ascii="Arial" w:hAnsi="Arial"/>
          <w:b/>
          <w:color w:val="1A3080"/>
          <w:sz w:val="20"/>
        </w:rPr>
        <w:t>SECTION 4 — SWOT ANALYSIS</w:t>
      </w:r>
    </w:p>
    <w:p>
      <w:r>
        <w:rPr>
          <w:rFonts w:ascii="Arial" w:hAnsi="Arial"/>
          <w:b/>
          <w:sz w:val="18"/>
        </w:rPr>
        <w:t>STRENGTHS</w:t>
      </w:r>
    </w:p>
    <w:p>
      <w:pPr>
        <w:spacing w:after="20"/>
      </w:pPr>
      <w:r>
        <w:rPr>
          <w:rFonts w:ascii="Arial" w:hAnsi="Arial"/>
          <w:sz w:val="17"/>
        </w:rPr>
        <w:t xml:space="preserve">  • Strong capital base with a net worth of Rs.20,558,970,000 and low leverage (D/E ratio of 1.2x)</w:t>
      </w:r>
    </w:p>
    <w:p>
      <w:pPr>
        <w:spacing w:after="20"/>
      </w:pPr>
      <w:r>
        <w:rPr>
          <w:rFonts w:ascii="Arial" w:hAnsi="Arial"/>
          <w:sz w:val="17"/>
        </w:rPr>
        <w:t xml:space="preserve">  • Healthy average balance of Rs.11,850,000,000, indicating good cash flow management</w:t>
      </w:r>
    </w:p>
    <w:p>
      <w:pPr>
        <w:spacing w:after="20"/>
      </w:pPr>
      <w:r>
        <w:rPr>
          <w:rFonts w:ascii="Arial" w:hAnsi="Arial"/>
          <w:sz w:val="17"/>
        </w:rPr>
        <w:t xml:space="preserve">  • Positive net income per ITR of Rs.2,594,280,000, reflecting the company's ability to generate profits</w:t>
      </w:r>
    </w:p>
    <w:p>
      <w:r>
        <w:rPr>
          <w:rFonts w:ascii="Arial" w:hAnsi="Arial"/>
          <w:b/>
          <w:sz w:val="18"/>
        </w:rPr>
        <w:t>WEAKNESSES</w:t>
      </w:r>
    </w:p>
    <w:p>
      <w:pPr>
        <w:spacing w:after="20"/>
      </w:pPr>
      <w:r>
        <w:rPr>
          <w:rFonts w:ascii="Arial" w:hAnsi="Arial"/>
          <w:sz w:val="17"/>
        </w:rPr>
        <w:t xml:space="preserve">  • GSTR-2A vs 3B mismatch detected with a 100.0% variance, raising concerns about potential tax evasion or misreporting</w:t>
      </w:r>
    </w:p>
    <w:p>
      <w:pPr>
        <w:spacing w:after="20"/>
      </w:pPr>
      <w:r>
        <w:rPr>
          <w:rFonts w:ascii="Arial" w:hAnsi="Arial"/>
          <w:sz w:val="17"/>
        </w:rPr>
        <w:t xml:space="preserve">  • Thin cash flow margin of 1.4%, which may impact the company's ability to service debt</w:t>
      </w:r>
    </w:p>
    <w:p>
      <w:pPr>
        <w:spacing w:after="20"/>
      </w:pPr>
      <w:r>
        <w:rPr>
          <w:rFonts w:ascii="Arial" w:hAnsi="Arial"/>
          <w:sz w:val="17"/>
        </w:rPr>
        <w:t xml:space="preserve">  • 1 negative news article found, which may affect the company's reputation</w:t>
      </w:r>
    </w:p>
    <w:p>
      <w:r>
        <w:rPr>
          <w:rFonts w:ascii="Arial" w:hAnsi="Arial"/>
          <w:b/>
          <w:sz w:val="18"/>
        </w:rPr>
        <w:t>OPPORTUNITIES</w:t>
      </w:r>
    </w:p>
    <w:p>
      <w:pPr>
        <w:spacing w:after="20"/>
      </w:pPr>
      <w:r>
        <w:rPr>
          <w:rFonts w:ascii="Arial" w:hAnsi="Arial"/>
          <w:sz w:val="17"/>
        </w:rPr>
        <w:t xml:space="preserve">  • Growing revenue, as evidenced by the 15% revenue growth in Q3, which could lead to increased profitability</w:t>
      </w:r>
    </w:p>
    <w:p>
      <w:pPr>
        <w:spacing w:after="20"/>
      </w:pPr>
      <w:r>
        <w:rPr>
          <w:rFonts w:ascii="Arial" w:hAnsi="Arial"/>
          <w:sz w:val="17"/>
        </w:rPr>
        <w:t xml:space="preserve">  • No litigation found, no MCA charges, and no RBI/SEBI actions, indicating a relatively clean regulatory record</w:t>
      </w:r>
    </w:p>
    <w:p>
      <w:pPr>
        <w:spacing w:after="20"/>
      </w:pPr>
      <w:r>
        <w:rPr>
          <w:rFonts w:ascii="Arial" w:hAnsi="Arial"/>
          <w:sz w:val="17"/>
        </w:rPr>
        <w:t xml:space="preserve">  • Moderate sector risk (5/10) provides an opportunity for the company to differentiate itself and gain a competitive advantage</w:t>
      </w:r>
    </w:p>
    <w:p>
      <w:r>
        <w:rPr>
          <w:rFonts w:ascii="Arial" w:hAnsi="Arial"/>
          <w:b/>
          <w:sz w:val="18"/>
        </w:rPr>
        <w:t>THREATS</w:t>
      </w:r>
    </w:p>
    <w:p>
      <w:pPr>
        <w:spacing w:after="20"/>
      </w:pPr>
      <w:r>
        <w:rPr>
          <w:rFonts w:ascii="Arial" w:hAnsi="Arial"/>
          <w:sz w:val="17"/>
        </w:rPr>
        <w:t xml:space="preserve">  • GST notice for ITC mismatch, which may lead to penalties or fines</w:t>
      </w:r>
    </w:p>
    <w:p>
      <w:pPr>
        <w:spacing w:after="20"/>
      </w:pPr>
      <w:r>
        <w:rPr>
          <w:rFonts w:ascii="Arial" w:hAnsi="Arial"/>
          <w:sz w:val="17"/>
        </w:rPr>
        <w:t xml:space="preserve">  • Risk of deterioration in bank statement health, such as increased EMI bounces or reduced average monthly balance</w:t>
      </w:r>
    </w:p>
    <w:p>
      <w:pPr>
        <w:spacing w:after="20"/>
      </w:pPr>
      <w:r>
        <w:rPr>
          <w:rFonts w:ascii="Arial" w:hAnsi="Arial"/>
          <w:sz w:val="17"/>
        </w:rPr>
        <w:t xml:space="preserve">  • Potential adverse news or regulatory actions against the company, which could negatively impact its reputation and operations</w:t>
      </w:r>
    </w:p>
    <w:p>
      <w:r>
        <w:t>Tata Capital Limited (TCL) has a strong capital base and healthy cash flow management, but faces challenges related to GST reconciliation and thin cash flow margins. The company's growth prospects and relatively clean regulatory record are positives, but it must navigate potential threats from GST notices and regulatory actions to maintain its stability and reputation.</w:t>
      </w:r>
    </w:p>
    <w:p/>
    <w:p>
      <w:pPr>
        <w:spacing w:before="200" w:after="80"/>
        <w:pBdr>
          <w:left w:val="single" w:sz="18" w:space="6" w:color="0d1f5c"/>
        </w:pBdr>
      </w:pPr>
      <w:r>
        <w:rPr>
          <w:rFonts w:ascii="Arial" w:hAnsi="Arial"/>
          <w:b/>
          <w:color w:val="1A3080"/>
          <w:sz w:val="20"/>
        </w:rPr>
        <w:t>SECTION 5 — EXTERNAL RESEARCH</w:t>
      </w:r>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News Risk Score</w:t>
            </w:r>
          </w:p>
        </w:tc>
        <w:tc>
          <w:tcPr>
            <w:tcW w:type="dxa" w:w="5386"/>
          </w:tcPr>
          <w:p>
            <w:pPr>
              <w:spacing w:before="0" w:after="0"/>
              <w:jc w:val="left"/>
            </w:pPr>
            <w:r>
              <w:rPr>
                <w:rFonts w:ascii="Arial" w:hAnsi="Arial"/>
                <w:b w:val="0"/>
                <w:sz w:val="18"/>
              </w:rPr>
              <w:t>3.5/10</w:t>
            </w:r>
          </w:p>
        </w:tc>
      </w:tr>
      <w:tr>
        <w:tc>
          <w:tcPr>
            <w:tcW w:type="dxa" w:w="2268"/>
            <w:shd w:fill="e8edf8" w:val="clear" w:color="auto"/>
          </w:tcPr>
          <w:p>
            <w:pPr>
              <w:spacing w:before="0" w:after="0"/>
              <w:jc w:val="left"/>
            </w:pPr>
            <w:r>
              <w:rPr>
                <w:rFonts w:ascii="Arial" w:hAnsi="Arial"/>
                <w:b/>
                <w:sz w:val="18"/>
              </w:rPr>
              <w:t>Negative News</w:t>
            </w:r>
          </w:p>
        </w:tc>
        <w:tc>
          <w:tcPr>
            <w:tcW w:type="dxa" w:w="5386"/>
          </w:tcPr>
          <w:p>
            <w:pPr>
              <w:spacing w:before="0" w:after="0"/>
              <w:jc w:val="left"/>
            </w:pPr>
            <w:r>
              <w:rPr>
                <w:rFonts w:ascii="Arial" w:hAnsi="Arial"/>
                <w:b w:val="0"/>
                <w:sz w:val="18"/>
              </w:rPr>
              <w:t>1</w:t>
            </w:r>
          </w:p>
        </w:tc>
      </w:tr>
      <w:tr>
        <w:tc>
          <w:tcPr>
            <w:tcW w:type="dxa" w:w="2268"/>
            <w:shd w:fill="e8edf8" w:val="clear" w:color="auto"/>
          </w:tcPr>
          <w:p>
            <w:pPr>
              <w:spacing w:before="0" w:after="0"/>
              <w:jc w:val="left"/>
            </w:pPr>
            <w:r>
              <w:rPr>
                <w:rFonts w:ascii="Arial" w:hAnsi="Arial"/>
                <w:b/>
                <w:sz w:val="18"/>
              </w:rPr>
              <w:t>Litigation</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MCA Charges</w:t>
            </w:r>
          </w:p>
        </w:tc>
        <w:tc>
          <w:tcPr>
            <w:tcW w:type="dxa" w:w="5386"/>
          </w:tcPr>
          <w:p>
            <w:pPr>
              <w:spacing w:before="0" w:after="0"/>
              <w:jc w:val="left"/>
            </w:pPr>
            <w:r>
              <w:rPr>
                <w:rFonts w:ascii="Arial" w:hAnsi="Arial"/>
                <w:b w:val="0"/>
                <w:sz w:val="18"/>
              </w:rPr>
              <w:t>None</w:t>
            </w:r>
          </w:p>
        </w:tc>
      </w:tr>
    </w:tbl>
    <w:p>
      <w:r>
        <w:t>Found 2 articles: 1 negative, 1 positive. News risk score: 3.5/10. Top negative: 'Tata Capital Limited (TCL) faces GST notice for ITC mismatch' No litigation found. No MCA charges. No RBI/SEBI actions.</w:t>
      </w:r>
    </w:p>
    <w:p/>
    <w:p>
      <w:pPr>
        <w:spacing w:before="200" w:after="80"/>
        <w:pBdr>
          <w:left w:val="single" w:sz="18" w:space="6" w:color="0d1f5c"/>
        </w:pBdr>
      </w:pPr>
      <w:r>
        <w:rPr>
          <w:rFonts w:ascii="Arial" w:hAnsi="Arial"/>
          <w:b/>
          <w:color w:val="1A3080"/>
          <w:sz w:val="20"/>
        </w:rPr>
        <w:t>SECTION 6 — EARLY WARNING SIGNALS</w:t>
      </w:r>
    </w:p>
    <w:tbl>
      <w:tblPr>
        <w:tblStyle w:val="TableGrid"/>
        <w:tblW w:type="auto" w:w="0"/>
        <w:tblLook w:firstColumn="1" w:firstRow="1" w:lastColumn="0" w:lastRow="0" w:noHBand="0" w:noVBand="1" w:val="04A0"/>
      </w:tblPr>
      <w:tblGrid>
        <w:gridCol w:w="4873"/>
        <w:gridCol w:w="4873"/>
      </w:tblGrid>
      <w:tr>
        <w:tc>
          <w:tcPr>
            <w:tcW w:type="dxa" w:w="4873"/>
            <w:shd w:fill="b85c00" w:val="clear" w:color="auto"/>
          </w:tcPr>
          <w:p>
            <w:pPr>
              <w:spacing w:before="0" w:after="0"/>
              <w:jc w:val="left"/>
            </w:pPr>
            <w:r>
              <w:rPr>
                <w:rFonts w:ascii="Arial" w:hAnsi="Arial"/>
                <w:b/>
                <w:color w:val="FFFFFF"/>
                <w:sz w:val="18"/>
              </w:rPr>
              <w:t>Signal</w:t>
            </w:r>
          </w:p>
        </w:tc>
        <w:tc>
          <w:tcPr>
            <w:tcW w:type="dxa" w:w="4873"/>
            <w:shd w:fill="b85c00" w:val="clear" w:color="auto"/>
          </w:tcPr>
          <w:p>
            <w:pPr>
              <w:spacing w:before="0" w:after="0"/>
              <w:jc w:val="left"/>
            </w:pPr>
            <w:r>
              <w:rPr>
                <w:rFonts w:ascii="Arial" w:hAnsi="Arial"/>
                <w:b/>
                <w:color w:val="FFFFFF"/>
                <w:sz w:val="18"/>
              </w:rPr>
              <w:t>Frequency</w:t>
            </w:r>
          </w:p>
        </w:tc>
      </w:tr>
      <w:tr>
        <w:tc>
          <w:tcPr>
            <w:tcW w:type="dxa" w:w="4873"/>
          </w:tcPr>
          <w:p>
            <w:pPr>
              <w:spacing w:before="0" w:after="0"/>
              <w:jc w:val="left"/>
            </w:pPr>
            <w:r>
              <w:rPr>
                <w:rFonts w:ascii="Arial" w:hAnsi="Arial"/>
                <w:b w:val="0"/>
                <w:sz w:val="18"/>
              </w:rPr>
              <w:t>Any further increase in ITC mismatch or GST notices</w:t>
            </w:r>
          </w:p>
        </w:tc>
        <w:tc>
          <w:tcPr>
            <w:tcW w:type="dxa" w:w="4873"/>
          </w:tcPr>
          <w:p>
            <w:pPr>
              <w:spacing w:before="0" w:after="0"/>
              <w:jc w:val="center"/>
            </w:pPr>
            <w:r>
              <w:rPr>
                <w:rFonts w:ascii="Arial" w:hAnsi="Arial"/>
                <w:b w:val="0"/>
                <w:sz w:val="18"/>
              </w:rPr>
              <w:t>Monthly</w:t>
            </w:r>
          </w:p>
        </w:tc>
      </w:tr>
      <w:tr>
        <w:tc>
          <w:tcPr>
            <w:tcW w:type="dxa" w:w="4873"/>
          </w:tcPr>
          <w:p>
            <w:pPr>
              <w:spacing w:before="0" w:after="0"/>
              <w:jc w:val="left"/>
            </w:pPr>
            <w:r>
              <w:rPr>
                <w:rFonts w:ascii="Arial" w:hAnsi="Arial"/>
                <w:b w:val="0"/>
                <w:sz w:val="18"/>
              </w:rPr>
              <w:t>Deterioration in bank statement health, such as increased EMI bounces or reduced average monthly balance</w:t>
            </w:r>
          </w:p>
        </w:tc>
        <w:tc>
          <w:tcPr>
            <w:tcW w:type="dxa" w:w="4873"/>
          </w:tcPr>
          <w:p>
            <w:pPr>
              <w:spacing w:before="0" w:after="0"/>
              <w:jc w:val="center"/>
            </w:pPr>
            <w:r>
              <w:rPr>
                <w:rFonts w:ascii="Arial" w:hAnsi="Arial"/>
                <w:b w:val="0"/>
                <w:sz w:val="18"/>
              </w:rPr>
              <w:t>Quarterly</w:t>
            </w:r>
          </w:p>
        </w:tc>
      </w:tr>
      <w:tr>
        <w:tc>
          <w:tcPr>
            <w:tcW w:type="dxa" w:w="4873"/>
          </w:tcPr>
          <w:p>
            <w:pPr>
              <w:spacing w:before="0" w:after="0"/>
              <w:jc w:val="left"/>
            </w:pPr>
            <w:r>
              <w:rPr>
                <w:rFonts w:ascii="Arial" w:hAnsi="Arial"/>
                <w:b w:val="0"/>
                <w:sz w:val="18"/>
              </w:rPr>
              <w:t>Adverse news or regulatory actions against the company</w:t>
            </w:r>
          </w:p>
        </w:tc>
        <w:tc>
          <w:tcPr>
            <w:tcW w:type="dxa" w:w="4873"/>
          </w:tcPr>
          <w:p>
            <w:pPr>
              <w:spacing w:before="0" w:after="0"/>
              <w:jc w:val="center"/>
            </w:pPr>
            <w:r>
              <w:rPr>
                <w:rFonts w:ascii="Arial" w:hAnsi="Arial"/>
                <w:b w:val="0"/>
                <w:sz w:val="18"/>
              </w:rPr>
              <w:t>Quarterly</w:t>
            </w:r>
          </w:p>
        </w:tc>
      </w:tr>
    </w:tbl>
    <w:p/>
    <w:p>
      <w:pPr>
        <w:spacing w:before="200" w:after="80"/>
        <w:pBdr>
          <w:left w:val="single" w:sz="18" w:space="6" w:color="0d1f5c"/>
        </w:pBdr>
      </w:pPr>
      <w:r>
        <w:rPr>
          <w:rFonts w:ascii="Arial" w:hAnsi="Arial"/>
          <w:b/>
          <w:color w:val="1A3080"/>
          <w:sz w:val="20"/>
        </w:rPr>
        <w:t>SECTION 7 — RECOMMENDATION</w:t>
      </w:r>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Borrower</w:t>
            </w:r>
          </w:p>
        </w:tc>
        <w:tc>
          <w:tcPr>
            <w:tcW w:type="dxa" w:w="5386"/>
          </w:tcPr>
          <w:p>
            <w:pPr>
              <w:spacing w:before="0" w:after="0"/>
              <w:jc w:val="left"/>
            </w:pPr>
            <w:r>
              <w:rPr>
                <w:rFonts w:ascii="Arial" w:hAnsi="Arial"/>
                <w:b w:val="0"/>
                <w:sz w:val="18"/>
              </w:rPr>
              <w:t>Tata Capital Limited (TCL)</w:t>
            </w:r>
          </w:p>
        </w:tc>
      </w:tr>
      <w:tr>
        <w:tc>
          <w:tcPr>
            <w:tcW w:type="dxa" w:w="2268"/>
            <w:shd w:fill="e8edf8" w:val="clear" w:color="auto"/>
          </w:tcPr>
          <w:p>
            <w:pPr>
              <w:spacing w:before="0" w:after="0"/>
              <w:jc w:val="left"/>
            </w:pPr>
            <w:r>
              <w:rPr>
                <w:rFonts w:ascii="Arial" w:hAnsi="Arial"/>
                <w:b/>
                <w:sz w:val="18"/>
              </w:rPr>
              <w:t>Sanctioned Limit</w:t>
            </w:r>
          </w:p>
        </w:tc>
        <w:tc>
          <w:tcPr>
            <w:tcW w:type="dxa" w:w="5386"/>
          </w:tcPr>
          <w:p>
            <w:pPr>
              <w:spacing w:before="0" w:after="0"/>
              <w:jc w:val="left"/>
            </w:pPr>
            <w:r>
              <w:rPr>
                <w:rFonts w:ascii="Arial" w:hAnsi="Arial"/>
                <w:b w:val="0"/>
                <w:sz w:val="18"/>
              </w:rPr>
              <w:t>Rs. 2,062,500</w:t>
            </w:r>
          </w:p>
        </w:tc>
      </w:tr>
      <w:tr>
        <w:tc>
          <w:tcPr>
            <w:tcW w:type="dxa" w:w="2268"/>
            <w:shd w:fill="e8edf8" w:val="clear" w:color="auto"/>
          </w:tcPr>
          <w:p>
            <w:pPr>
              <w:spacing w:before="0" w:after="0"/>
              <w:jc w:val="left"/>
            </w:pPr>
            <w:r>
              <w:rPr>
                <w:rFonts w:ascii="Arial" w:hAnsi="Arial"/>
                <w:b/>
                <w:sz w:val="18"/>
              </w:rPr>
              <w:t>Interest Rate</w:t>
            </w:r>
          </w:p>
        </w:tc>
        <w:tc>
          <w:tcPr>
            <w:tcW w:type="dxa" w:w="5386"/>
          </w:tcPr>
          <w:p>
            <w:pPr>
              <w:spacing w:before="0" w:after="0"/>
              <w:jc w:val="left"/>
            </w:pPr>
            <w:r>
              <w:rPr>
                <w:rFonts w:ascii="Arial" w:hAnsi="Arial"/>
                <w:b w:val="0"/>
                <w:sz w:val="18"/>
              </w:rPr>
              <w:t>11.30% p.a.</w:t>
            </w:r>
          </w:p>
        </w:tc>
      </w:tr>
      <w:tr>
        <w:tc>
          <w:tcPr>
            <w:tcW w:type="dxa" w:w="2268"/>
            <w:shd w:fill="e8edf8" w:val="clear" w:color="auto"/>
          </w:tcPr>
          <w:p>
            <w:pPr>
              <w:spacing w:before="0" w:after="0"/>
              <w:jc w:val="left"/>
            </w:pPr>
            <w:r>
              <w:rPr>
                <w:rFonts w:ascii="Arial" w:hAnsi="Arial"/>
                <w:b/>
                <w:sz w:val="18"/>
              </w:rPr>
              <w:t>Primary Security</w:t>
            </w:r>
          </w:p>
        </w:tc>
        <w:tc>
          <w:tcPr>
            <w:tcW w:type="dxa" w:w="5386"/>
          </w:tcPr>
          <w:p>
            <w:pPr>
              <w:spacing w:before="0" w:after="0"/>
              <w:jc w:val="left"/>
            </w:pPr>
            <w:r>
              <w:rPr>
                <w:rFonts w:ascii="Arial" w:hAnsi="Arial"/>
                <w:b w:val="0"/>
                <w:sz w:val="18"/>
              </w:rPr>
              <w:t>Hypothecation of current assets</w:t>
            </w:r>
          </w:p>
        </w:tc>
      </w:tr>
      <w:tr>
        <w:tc>
          <w:tcPr>
            <w:tcW w:type="dxa" w:w="2268"/>
            <w:shd w:fill="e8edf8" w:val="clear" w:color="auto"/>
          </w:tcPr>
          <w:p>
            <w:pPr>
              <w:spacing w:before="0" w:after="0"/>
              <w:jc w:val="left"/>
            </w:pPr>
            <w:r>
              <w:rPr>
                <w:rFonts w:ascii="Arial" w:hAnsi="Arial"/>
                <w:b/>
                <w:sz w:val="18"/>
              </w:rPr>
              <w:t>Processing Fee</w:t>
            </w:r>
          </w:p>
        </w:tc>
        <w:tc>
          <w:tcPr>
            <w:tcW w:type="dxa" w:w="5386"/>
          </w:tcPr>
          <w:p>
            <w:pPr>
              <w:spacing w:before="0" w:after="0"/>
              <w:jc w:val="left"/>
            </w:pPr>
            <w:r>
              <w:rPr>
                <w:rFonts w:ascii="Arial" w:hAnsi="Arial"/>
                <w:b w:val="0"/>
                <w:sz w:val="18"/>
              </w:rPr>
              <w:t>0.50% + GST</w:t>
            </w:r>
          </w:p>
        </w:tc>
      </w:tr>
    </w:tbl>
    <w:p>
      <w:r>
        <w:rPr>
          <w:rFonts w:ascii="Arial" w:hAnsi="Arial"/>
          <w:b/>
          <w:color w:val="B85C00"/>
          <w:sz w:val="24"/>
        </w:rPr>
        <w:t>DECISION: CONDITIONAL APPROVAL</w:t>
      </w:r>
    </w:p>
    <w:p>
      <w:r>
        <w:rPr>
          <w:rFonts w:ascii="Arial" w:hAnsi="Arial"/>
          <w:sz w:val="18"/>
        </w:rPr>
        <w:t>Decisive Factor: The significant ITC discrepancy detected in the GST analysis is the single biggest reason for the conditional approval decision, as it raises concerns about potential tax evasion or misreporting.</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5068"/>
        <w:sz w:val="14"/>
      </w:rPr>
      <w:t>Ref: CAM/2026/TATA/03160009  |  IntelliCredit  |  STRICTLY CONFIDENTIAL  |  16 Mar 2026  |  Intelli-Credit AI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