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CAM/2026/LAKM/03081632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249,666,423 (2496.66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CAM/2026/LAKM/03081632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249,666,423 (2496.66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5.0/10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capital. Leverage within acceptable limits.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6.85/10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2.4588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1.5066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1.4747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1.4327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 or interest expenses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Decline in revenue or profit margins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Changes in promoter or management structure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Rs.2496.66 Lakhs</w:t>
      </w:r>
    </w:p>
    <w:p>
      <w:pPr>
        <w:spacing w:after="40"/>
      </w:pPr>
      <w:r>
        <w:rPr>
          <w:rFonts w:ascii="Arial" w:hAnsi="Arial"/>
          <w:b/>
          <w:sz w:val="18"/>
        </w:rPr>
        <w:t>RATE: 8.52%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Regular GST payments, no signs of ITC manipulation -&gt; impact: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average monthly credits and debits, no EMI/loan bounces or cheque returns -&gt; impact: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-&gt; impact: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Officer observation of Debt/Equity Ratio, Collateral Coverage, and Promoter Score -&gt; impact: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regular GST payments, healthy bank statement, and lack of negative news or regulatory actions contribute to a low-risk profile.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 or interest expenses</w:t>
      </w:r>
    </w:p>
    <w:p>
      <w:pPr>
        <w:spacing w:after="40"/>
      </w:pPr>
      <w:r>
        <w:rPr>
          <w:rFonts w:ascii="Arial" w:hAnsi="Arial"/>
          <w:b w:val="0"/>
          <w:sz w:val="18"/>
        </w:rPr>
        <w:t>- Decline in revenue or profit margins</w:t>
      </w:r>
    </w:p>
    <w:p>
      <w:pPr>
        <w:spacing w:after="40"/>
      </w:pPr>
      <w:r>
        <w:rPr>
          <w:rFonts w:ascii="Arial" w:hAnsi="Arial"/>
          <w:b w:val="0"/>
          <w:sz w:val="18"/>
        </w:rPr>
        <w:t>- Changes in promoter or management structure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Regular monthly repayments with interest</w:t>
      </w:r>
    </w:p>
    <w:p>
      <w:pPr>
        <w:spacing w:after="40"/>
      </w:pPr>
      <w:r>
        <w:rPr>
          <w:rFonts w:ascii="Arial" w:hAnsi="Arial"/>
          <w:b w:val="0"/>
          <w:sz w:val="18"/>
        </w:rPr>
        <w:t>- Maintenance of a minimum balance in the account</w:t>
      </w:r>
    </w:p>
    <w:p>
      <w:pPr>
        <w:spacing w:after="40"/>
      </w:pPr>
      <w:r>
        <w:rPr>
          <w:rFonts w:ascii="Arial" w:hAnsi="Arial"/>
          <w:b w:val="0"/>
          <w:sz w:val="18"/>
        </w:rPr>
        <w:t>- Quarterly review of financial statements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regular GST payments, healthy bank statement, and lack of negative news or regulatory actions contribute to a low-risk profile.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CAM/2026/LAKM/03081632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