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CAM/2026/LAKM/03081641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249,668,795 (2496.69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8.52%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CAM/2026/LAKM/03081641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0.003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249,668,795 (2496.69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8.52%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40%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Only 40.0% of financial ratios could be auto-derived. Please ensure ITR and Bank Statement are uploaded.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7.8/10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2.3089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1.4789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1.4645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1.3285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significant increase in debt-equity ratio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Delay or irregularity in GST payments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Adverse news or litigation affecting the company's reputation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Rs.2496.69 Lakhs</w:t>
      </w:r>
    </w:p>
    <w:p>
      <w:pPr>
        <w:spacing w:after="40"/>
      </w:pPr>
      <w:r>
        <w:rPr>
          <w:rFonts w:ascii="Arial" w:hAnsi="Arial"/>
          <w:b/>
          <w:sz w:val="18"/>
        </w:rPr>
        <w:t>RATE: 8.52%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Regular GST payments, no signs of ITC manipulation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Healthy average daily balance, no EMI/loan bounces, regular transactions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no litigation, no MCA charges, no RBI/SEBI actions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Strong promoter score, moderate sector risk score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performance, as evident from its high net profit margin and low debt-equity ratio, is the single biggest reason for the approval decision.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significant increase in debt-equity ratio</w:t>
      </w:r>
    </w:p>
    <w:p>
      <w:pPr>
        <w:spacing w:after="40"/>
      </w:pPr>
      <w:r>
        <w:rPr>
          <w:rFonts w:ascii="Arial" w:hAnsi="Arial"/>
          <w:b w:val="0"/>
          <w:sz w:val="18"/>
        </w:rPr>
        <w:t>- Delay or irregularity in GST payments</w:t>
      </w:r>
    </w:p>
    <w:p>
      <w:pPr>
        <w:spacing w:after="40"/>
      </w:pPr>
      <w:r>
        <w:rPr>
          <w:rFonts w:ascii="Arial" w:hAnsi="Arial"/>
          <w:b w:val="0"/>
          <w:sz w:val="18"/>
        </w:rPr>
        <w:t>- Adverse news or litigation affecting the company's reputation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should maintain a minimum debt-equity ratio of 0.6x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should provide quarterly updates on its financial performance and GST compliance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performance, as evident from its high net profit margin and low debt-equity ratio, is the single biggest reason for the approval decision.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CAM/2026/LAKM/03081641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