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CAM/2026/LAKM/03081646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e8f5ea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6B2A"/>
                <w:sz w:val="18"/>
              </w:rPr>
              <w:t>APPROVED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249,668,795 (2496.69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8.52%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08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CAM/2026/LAKM/03081646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0.003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249,668,795 (2496.69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8.52%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Debt / Equity Ratio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0.54x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Worth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745,000,000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DSCR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5.89x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Profit Margin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12.4%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40%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Only 40.0% of financial ratios could be auto-derived. Please ensure ITR and Bank Statement are uploaded.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9.0/10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Excellent character profile. Strong compliance history.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Good capacity with adequate cash flows to service debt.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10.0/10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Strong capital base. Well-capitalized with low leverage.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7.8/10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2.3919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1.4930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1.4628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1.3209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Any significant increase in debt-to-equity ratio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Decline in GST payment regularity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Negative news or litigation affecting the company's reputation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Approve</w:t>
      </w:r>
    </w:p>
    <w:p>
      <w:pPr>
        <w:spacing w:after="40"/>
      </w:pPr>
      <w:r>
        <w:rPr>
          <w:rFonts w:ascii="Arial" w:hAnsi="Arial"/>
          <w:b/>
          <w:sz w:val="18"/>
        </w:rPr>
        <w:t>LIMIT: Rs.2496.69 Lakhs</w:t>
      </w:r>
    </w:p>
    <w:p>
      <w:pPr>
        <w:spacing w:after="40"/>
      </w:pPr>
      <w:r>
        <w:rPr>
          <w:rFonts w:ascii="Arial" w:hAnsi="Arial"/>
          <w:b/>
          <w:sz w:val="18"/>
        </w:rPr>
        <w:t>RATE: 8.52%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Regular GST payments, no signs of ITC manipulation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Healthy average daily balance, no cheque returns or loan bounces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negative news, no litigation, no MCA charges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Strong promoter score, low sector risk score -&gt; decreases risk</w:t>
      </w:r>
    </w:p>
    <w:p>
      <w:pPr>
        <w:spacing w:after="40"/>
      </w:pPr>
      <w:r>
        <w:rPr>
          <w:rFonts w:ascii="Arial" w:hAnsi="Arial"/>
          <w:b/>
          <w:sz w:val="18"/>
        </w:rPr>
        <w:t>DECISIVE FACTOR: The company's strong financial performance, as evident from its high net profit margin and low debt-to-equity ratio, is the single biggest reason for the approval decision.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Any significant increase in debt-to-equity ratio</w:t>
      </w:r>
    </w:p>
    <w:p>
      <w:pPr>
        <w:spacing w:after="40"/>
      </w:pPr>
      <w:r>
        <w:rPr>
          <w:rFonts w:ascii="Arial" w:hAnsi="Arial"/>
          <w:b w:val="0"/>
          <w:sz w:val="18"/>
        </w:rPr>
        <w:t>- Decline in GST payment regularity</w:t>
      </w:r>
    </w:p>
    <w:p>
      <w:pPr>
        <w:spacing w:after="40"/>
      </w:pPr>
      <w:r>
        <w:rPr>
          <w:rFonts w:ascii="Arial" w:hAnsi="Arial"/>
          <w:b w:val="0"/>
          <w:sz w:val="18"/>
        </w:rPr>
        <w:t>- Negative news or litigation affecting the company's reputation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should maintain a minimum debt service coverage ratio (DSCR) of 4 times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should provide quarterly updates on its financial performance and GST payments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1A6B2A"/>
          <w:sz w:val="26"/>
        </w:rPr>
        <w:t>DECISION: APPROVED</w:t>
      </w:r>
    </w:p>
    <w:p>
      <w:r>
        <w:rPr>
          <w:rFonts w:ascii="Arial" w:hAnsi="Arial"/>
          <w:sz w:val="18"/>
        </w:rPr>
        <w:t>Decisive Factor: The company's strong financial performance, as evident from its high net profit margin and low debt-to-equity ratio, is the single biggest reason for the approval decision.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CAM/2026/LAKM/03081646  |  Intelli-Credit Bank  |  STRICTLY CONFIDENTIAL  |  08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