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INTELLI-CREDIT BANK</w:t>
      </w:r>
    </w:p>
    <w:p>
      <w:pPr>
        <w:jc w:val="center"/>
      </w:pPr>
      <w:r>
        <w:rPr>
          <w:rFonts w:ascii="Arial" w:hAnsi="Arial"/>
          <w:color w:val="4C5068"/>
          <w:sz w:val="18"/>
        </w:rPr>
        <w:t>Credit Risk Management Division</w:t>
      </w:r>
    </w:p>
    <w:p/>
    <w:p>
      <w:pPr>
        <w:jc w:val="center"/>
      </w:pPr>
      <w:r>
        <w:rPr>
          <w:rFonts w:ascii="Arial" w:hAnsi="Arial"/>
          <w:b/>
          <w:color w:val="0D1F5C"/>
          <w:sz w:val="36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Applicant / Borrower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CAM/2026/LAKM/03081648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4819"/>
            <w:shd w:fill="e8f5ea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6B2A"/>
                <w:sz w:val="18"/>
              </w:rPr>
              <w:t>APPROVED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249,596,733 (2495.97 Lakhs)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8.53% p.a.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08 March 2026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Analyst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Manager / AGM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Chief Credit Officer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Signature</w:t>
              <w:br/>
              <w:br/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1 —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CAM/2026/LAKM/03081648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0.003 / 1.000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249,596,733 (2495.97 Lakhs)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8.53% p.a.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2 —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Debt / Equity Ratio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0.54x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Worth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745,000,000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DSCR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5.89x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Profit Margin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12.4%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Monthly Credit Avg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14,000,000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60%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1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Average monthly balance could not be computed from bank statement.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2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Monthly credit avg estimated from total (12-month assumed).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3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Summary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9.0/10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Excellent character profile. Strong compliance history.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4.5/10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Moderate capacity. Cash flows need monitoring post-disbursement.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10.0/10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Strong capital base. Well-capitalized with low leverage.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7.2/10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4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GSTR 2A vs 3B Variance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2.3643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1.5277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1.4574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1.2630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5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Monitor Frequency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Any significant increase in debt levels or decline in profitability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Non-compliance with GST regulations or other regulatory requirements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Adverse news or litigation that may impact the company's reputation or financials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6 — AI REASONING CHAIN</w:t>
      </w:r>
    </w:p>
    <w:p>
      <w:pPr>
        <w:spacing w:after="40"/>
      </w:pPr>
      <w:r>
        <w:rPr>
          <w:rFonts w:ascii="Arial" w:hAnsi="Arial"/>
          <w:b/>
          <w:sz w:val="18"/>
        </w:rPr>
        <w:t>DECISION: Approve</w:t>
      </w:r>
    </w:p>
    <w:p>
      <w:pPr>
        <w:spacing w:after="40"/>
      </w:pPr>
      <w:r>
        <w:rPr>
          <w:rFonts w:ascii="Arial" w:hAnsi="Arial"/>
          <w:b/>
          <w:sz w:val="18"/>
        </w:rPr>
        <w:t>LIMIT: Rs.2495.97 Lakhs</w:t>
      </w:r>
    </w:p>
    <w:p>
      <w:pPr>
        <w:spacing w:after="40"/>
      </w:pPr>
      <w:r>
        <w:rPr>
          <w:rFonts w:ascii="Arial" w:hAnsi="Arial"/>
          <w:b/>
          <w:sz w:val="18"/>
        </w:rPr>
        <w:t>RATE: 8.53% per annum</w:t>
      </w:r>
    </w:p>
    <w:p>
      <w:pPr>
        <w:spacing w:after="40"/>
      </w:pPr>
      <w:r>
        <w:rPr>
          <w:rFonts w:ascii="Arial" w:hAnsi="Arial"/>
          <w:b/>
          <w:sz w:val="18"/>
        </w:rPr>
        <w:t>REASONING CHAIN:</w:t>
      </w:r>
    </w:p>
    <w:p>
      <w:pPr>
        <w:spacing w:after="40"/>
      </w:pPr>
      <w:r>
        <w:rPr>
          <w:rFonts w:ascii="Arial" w:hAnsi="Arial"/>
          <w:b w:val="0"/>
          <w:sz w:val="18"/>
        </w:rPr>
        <w:t>1. GST Analysis      -&gt; No mismatches or circular trading found, GSTR-2A turnover is zero/missing but manual review required -&gt; increases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2. Bank Statements   -&gt; Average monthly balance is zero, but total credits and debits are substantial, indicating a high-volume business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3. External Research -&gt; No negative news, litigation, or regulatory actions found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4. Primary Inputs    -&gt; Debt/Equity Ratio is 0.54x, indicating a moderate debt level, and Net Profit Margin is 12.4%, indicating a profitable business -&gt; decreases risk</w:t>
      </w:r>
    </w:p>
    <w:p>
      <w:pPr>
        <w:spacing w:after="40"/>
      </w:pPr>
      <w:r>
        <w:rPr>
          <w:rFonts w:ascii="Arial" w:hAnsi="Arial"/>
          <w:b/>
          <w:sz w:val="18"/>
        </w:rPr>
        <w:t>DECISIVE FACTOR: The company's strong financial performance, as evident from its high revenue, moderate debt level, and substantial net profit margin, is the primary reason for approving the loan.</w:t>
      </w:r>
    </w:p>
    <w:p>
      <w:pPr>
        <w:spacing w:after="40"/>
      </w:pPr>
      <w:r>
        <w:rPr>
          <w:rFonts w:ascii="Arial" w:hAnsi="Arial"/>
          <w:b w:val="0"/>
          <w:sz w:val="18"/>
        </w:rPr>
        <w:t>EARLY WARNING SIGNALS:</w:t>
      </w:r>
    </w:p>
    <w:p>
      <w:pPr>
        <w:spacing w:after="40"/>
      </w:pPr>
      <w:r>
        <w:rPr>
          <w:rFonts w:ascii="Arial" w:hAnsi="Arial"/>
          <w:b w:val="0"/>
          <w:sz w:val="18"/>
        </w:rPr>
        <w:t>- Any significant increase in debt levels or decline in profitability</w:t>
      </w:r>
    </w:p>
    <w:p>
      <w:pPr>
        <w:spacing w:after="40"/>
      </w:pPr>
      <w:r>
        <w:rPr>
          <w:rFonts w:ascii="Arial" w:hAnsi="Arial"/>
          <w:b w:val="0"/>
          <w:sz w:val="18"/>
        </w:rPr>
        <w:t>- Non-compliance with GST regulations or other regulatory requirements</w:t>
      </w:r>
    </w:p>
    <w:p>
      <w:pPr>
        <w:spacing w:after="40"/>
      </w:pPr>
      <w:r>
        <w:rPr>
          <w:rFonts w:ascii="Arial" w:hAnsi="Arial"/>
          <w:b w:val="0"/>
          <w:sz w:val="18"/>
        </w:rPr>
        <w:t>- Adverse news or litigation that may impact the company's reputation or financials</w:t>
      </w:r>
    </w:p>
    <w:p>
      <w:pPr>
        <w:spacing w:after="40"/>
      </w:pPr>
      <w:r>
        <w:rPr>
          <w:rFonts w:ascii="Arial" w:hAnsi="Arial"/>
          <w:b/>
          <w:sz w:val="18"/>
        </w:rPr>
        <w:t>LOAN CONDITIONS: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must maintain a minimum debt service coverage ratio (DSCR) of 1.5x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must provide quarterly financial statements and GST returns to the bank for monitoring purposes</w:t>
      </w:r>
    </w:p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7 — RECOMMENDATION</w:t>
      </w:r>
    </w:p>
    <w:p>
      <w:r>
        <w:rPr>
          <w:rFonts w:ascii="Arial" w:hAnsi="Arial"/>
          <w:b/>
          <w:color w:val="1A6B2A"/>
          <w:sz w:val="26"/>
        </w:rPr>
        <w:t>DECISION: APPROVED</w:t>
      </w:r>
    </w:p>
    <w:p>
      <w:r>
        <w:rPr>
          <w:rFonts w:ascii="Arial" w:hAnsi="Arial"/>
          <w:sz w:val="18"/>
        </w:rPr>
        <w:t>Decisive Factor: The company's strong financial performance, as evident from its high revenue, moderate debt level, and substantial net profit margin, is the primary reason for approving the loan.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5"/>
      </w:rPr>
      <w:t>Ref: CAM/2026/LAKM/03081648  |  Intelli-Credit Bank  |  STRICTLY CONFIDENTIAL  |  08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