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CAM/2026/LAKM/03081649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CAM/2026/LAKM/03081649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249,596,733 (2495.97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8.53%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could not be computed from bank statement.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7.2/10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2.3643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1.5277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1.4574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1.2630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debt/equity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Deterioration in bank statement transactions, such as EMI bounces or cheque returns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news or litigation affecting the company's reputation or financials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Rs.2495.97 Lakhs</w:t>
      </w:r>
    </w:p>
    <w:p>
      <w:pPr>
        <w:spacing w:after="40"/>
      </w:pPr>
      <w:r>
        <w:rPr>
          <w:rFonts w:ascii="Arial" w:hAnsi="Arial"/>
          <w:b/>
          <w:sz w:val="18"/>
        </w:rPr>
        <w:t>RATE: 8.53%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found, GSTR-2A turnover is zero/missing but manual review shows regular GST payments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Healthy credit and debit transactions, no EMI bounces, average monthly balance is zero but overall cash flow seems stable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MCA charges, or RBI/SEBI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Officer observation of debt/equity ratio, collateral coverage, and promoter score indicates a stable company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evident from its income tax return and bank statement, with a high net profit margin and no significant adverse findings, makes it a low-risk borrower.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debt/equity ratio</w:t>
      </w:r>
    </w:p>
    <w:p>
      <w:pPr>
        <w:spacing w:after="40"/>
      </w:pPr>
      <w:r>
        <w:rPr>
          <w:rFonts w:ascii="Arial" w:hAnsi="Arial"/>
          <w:b w:val="0"/>
          <w:sz w:val="18"/>
        </w:rPr>
        <w:t>- Deterioration in bank statement transactions, such as EMI bounces or cheque returns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news or litigation affecting the company's reputation or financials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should maintain a minimum debt service coverage ratio (DSCR) of 1.5 times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should provide quarterly updates on its financial performance and bank statements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evident from its income tax return and bank statement, with a high net profit margin and no significant adverse findings, makes it a low-risk borrower.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CAM/2026/LAKM/03081649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