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CAM/2026/LAKM/03081650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249,596,733 (2495.97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8.53%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08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CAM/2026/LAKM/03081650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0.003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249,596,733 (2495.97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8.53%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60%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Average monthly balance could not be computed from bank statement.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character profile. Strong compliance history.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4.5/10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capacity. Cash flows need monitoring post-disbursement.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7.2/10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2.3643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1.5277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1.4574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1.2630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significant increase in debt/equity ratio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Deterioration in credit history or EMI payment track record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Adverse changes in sector-specific risks or promoter score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Approve</w:t>
      </w:r>
    </w:p>
    <w:p>
      <w:pPr>
        <w:spacing w:after="40"/>
      </w:pPr>
      <w:r>
        <w:rPr>
          <w:rFonts w:ascii="Arial" w:hAnsi="Arial"/>
          <w:b/>
          <w:sz w:val="18"/>
        </w:rPr>
        <w:t>LIMIT: Rs.2495.97 Lakhs</w:t>
      </w:r>
    </w:p>
    <w:p>
      <w:pPr>
        <w:spacing w:after="40"/>
      </w:pPr>
      <w:r>
        <w:rPr>
          <w:rFonts w:ascii="Arial" w:hAnsi="Arial"/>
          <w:b/>
          <w:sz w:val="18"/>
        </w:rPr>
        <w:t>RATE: 8.53%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No mismatches or circular trading found, GSTR-2A turnover is zero/missing but manual review required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Healthy credit and debit transactions, no EMI bounces, average monthly balance is zero but overall cash flow seems stable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litigation, MCA charges, or RBI/SEBI actions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Officer observations indicate a debt/equity ratio of 0.5, collateral coverage of 75%, and a net worth of Rs. 745,000,000, with a sector risk score of 5/10 and promoter score of 7/10 -&gt; decreases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company's strong financial performance, as indicated by its high net profit margin of 12.4% and low debt/equity ratio of 0.54x, is the single biggest reason for the approval decision.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significant increase in debt/equity ratio</w:t>
      </w:r>
    </w:p>
    <w:p>
      <w:pPr>
        <w:spacing w:after="40"/>
      </w:pPr>
      <w:r>
        <w:rPr>
          <w:rFonts w:ascii="Arial" w:hAnsi="Arial"/>
          <w:b w:val="0"/>
          <w:sz w:val="18"/>
        </w:rPr>
        <w:t>- Deterioration in credit history or EMI payment track record</w:t>
      </w:r>
    </w:p>
    <w:p>
      <w:pPr>
        <w:spacing w:after="40"/>
      </w:pPr>
      <w:r>
        <w:rPr>
          <w:rFonts w:ascii="Arial" w:hAnsi="Arial"/>
          <w:b w:val="0"/>
          <w:sz w:val="18"/>
        </w:rPr>
        <w:t>- Adverse changes in sector-specific risks or promoter score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loan amount should be utilized only for the purpose specified in the loan application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should maintain a minimum debt service coverage ratio (DSCR) of 1.5 times during the loan tenure</w:t>
      </w:r>
    </w:p>
    <w:p>
      <w:pPr>
        <w:spacing w:after="40"/>
      </w:pPr>
      <w:r>
        <w:rPr>
          <w:rFonts w:ascii="Arial" w:hAnsi="Arial"/>
          <w:b w:val="0"/>
          <w:sz w:val="18"/>
        </w:rPr>
        <w:t>- Regular quarterly reviews of the company's financial performance and credit history should be conducted to ensure compliance with loan conditions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company's strong financial performance, as indicated by its high net profit margin of 12.4% and low debt/equity ratio of 0.54x, is the single biggest reason for the approval decision.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CAM/2026/LAKM/03081650  |  Intelli-Credit Bank  |  STRICTLY CONFIDENTIAL  |  08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