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CAM/2026/LAKM/03081659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CAM/2026/LAKM/03081659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7.2/10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2.2813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1.5137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1.4592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1.2706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debt/equity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bank statement transactions, such as EMI bounces or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Negative news or regulatory actions against the company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found, GSTR-2A turnover is zero/missing but manual review required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credit and debit transactions, no EMI bounces, average monthly balance is zero but overall transactions indicate good cash flow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low news risk score, no litigation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indicating a healthy balance between debt and equity, promoter score is 7/10 -&gt;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indicated by its high net profit margin of 12.4% and low debt/equity ratio of 0.54, is the single biggest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debt/equity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bank statement transactions, such as EMI bounces or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Negative news or regulatory actions against the company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 service coverage ratio (DSCR) of 1.5 times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updates on its financial performance and bank statements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indicated by its high net profit margin of 12.4% and low debt/equity ratio of 0.54, is the single biggest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CAM/2026/LAKM/03081659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