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/>
          <w:color w:val="0D1F5C"/>
          <w:sz w:val="28"/>
        </w:rPr>
        <w:t>INTELLI-CREDIT BANK</w:t>
      </w:r>
    </w:p>
    <w:p>
      <w:pPr>
        <w:jc w:val="center"/>
      </w:pPr>
      <w:r>
        <w:rPr>
          <w:rFonts w:ascii="Arial" w:hAnsi="Arial"/>
          <w:color w:val="4C5068"/>
          <w:sz w:val="18"/>
        </w:rPr>
        <w:t>Credit Risk Management Division</w:t>
      </w:r>
    </w:p>
    <w:p/>
    <w:p>
      <w:pPr>
        <w:jc w:val="center"/>
      </w:pPr>
      <w:r>
        <w:rPr>
          <w:rFonts w:ascii="Arial" w:hAnsi="Arial"/>
          <w:b/>
          <w:color w:val="0D1F5C"/>
          <w:sz w:val="36"/>
        </w:rPr>
        <w:t>CREDIT APPRAISAL MEMORANDUM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Applicant / Borrower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Lakmé Cosmetics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Reference No.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CAM/2026/LAKM/03081700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AI Decision</w:t>
            </w:r>
          </w:p>
        </w:tc>
        <w:tc>
          <w:tcPr>
            <w:tcW w:type="dxa" w:w="4819"/>
            <w:shd w:fill="e8f5ea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A6B2A"/>
                <w:sz w:val="18"/>
              </w:rPr>
              <w:t>APPROVED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Category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LOW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Loan Limit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218,233,079 (2182.33 Lakhs)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Interest Rate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10.53% p.a.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Report Date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08 March 2026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Prepared By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Intelli-Credit AI Engine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Classification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STRICTLY CONFIDENTIAL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Credit Analyst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Credit Manager / AGM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Chief Credit Officer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Signature</w:t>
              <w:br/>
              <w:br/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r>
        <w:br w:type="page"/>
      </w:r>
    </w:p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1 — 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Company / Borrower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Lakmé Cosmetics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GSTIN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Reference No.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CAM/2026/LAKM/03081700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AI Decision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APPROVED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Category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LOW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Score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0.254 / 1.000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Loan Limit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218,233,079 (2182.33 Lakhs)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Interest Rate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10.53% p.a.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2 — FINANCIAL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Debt / Equity Ratio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0.54x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Net Worth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745,000,000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DSCR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5.89x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Net Profit Margin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12.4%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Monthly Credit Avg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14,000,000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Data Completeness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60%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Note 1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Average monthly balance could not be computed from bank statement.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Note 2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Monthly credit avg estimated from total (12-month assumed).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3 — FIVE Cs CREDIT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Assessment Summary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Character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6.5/10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Good character with minor concerns. Monitor regularly.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Capacity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4.5/10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Moderate capacity. Cash flows need monitoring post-disbursement.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Capital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10.0/10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Strong capital base. Well-capitalized with low leverage.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Collateral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6.0/10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Adequate collateral. Loan well-secured.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Conditions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7.0/10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Neutral conditions. Standard sector risk.</w:t>
            </w:r>
          </w:p>
        </w:tc>
      </w:tr>
      <w:tr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OVERALL</w:t>
            </w:r>
          </w:p>
        </w:tc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6.58/10</w:t>
            </w:r>
          </w:p>
        </w:tc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Weighted average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4 — AI RISK DRIVERS (SHAP)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SHAP Impact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Direction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GSTR 2A vs 3B Variance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2.6128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increases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EMI Bounce Count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1.8028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GST Filing Regularity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1.6785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Active Litigation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1.3759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5 — EARLY WARNING SIGNALS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b85c00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4703"/>
            <w:shd w:fill="b85c00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Monitor Frequency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Any further discrepancies in GST filings or payments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Monthly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Significant changes in bank statement patterns or credit behavior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Quarterly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Adverse news or regulatory actions against the company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Quarterly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6 — AI REASONING CHAIN</w:t>
      </w:r>
    </w:p>
    <w:p>
      <w:pPr>
        <w:spacing w:after="40"/>
      </w:pPr>
      <w:r>
        <w:rPr>
          <w:rFonts w:ascii="Arial" w:hAnsi="Arial"/>
          <w:b/>
          <w:sz w:val="18"/>
        </w:rPr>
        <w:t>DECISION: Conditional Approval</w:t>
      </w:r>
    </w:p>
    <w:p>
      <w:pPr>
        <w:spacing w:after="40"/>
      </w:pPr>
      <w:r>
        <w:rPr>
          <w:rFonts w:ascii="Arial" w:hAnsi="Arial"/>
          <w:b/>
          <w:sz w:val="18"/>
        </w:rPr>
        <w:t>LIMIT: Rs.2182.33 Lakhs</w:t>
      </w:r>
    </w:p>
    <w:p>
      <w:pPr>
        <w:spacing w:after="40"/>
      </w:pPr>
      <w:r>
        <w:rPr>
          <w:rFonts w:ascii="Arial" w:hAnsi="Arial"/>
          <w:b/>
          <w:sz w:val="18"/>
        </w:rPr>
        <w:t>RATE: 10.53% per annum</w:t>
      </w:r>
    </w:p>
    <w:p>
      <w:pPr>
        <w:spacing w:after="40"/>
      </w:pPr>
      <w:r>
        <w:rPr>
          <w:rFonts w:ascii="Arial" w:hAnsi="Arial"/>
          <w:b/>
          <w:sz w:val="18"/>
        </w:rPr>
        <w:t>REASONING CHAIN:</w:t>
      </w:r>
    </w:p>
    <w:p>
      <w:pPr>
        <w:spacing w:after="40"/>
      </w:pPr>
      <w:r>
        <w:rPr>
          <w:rFonts w:ascii="Arial" w:hAnsi="Arial"/>
          <w:b w:val="0"/>
          <w:sz w:val="18"/>
        </w:rPr>
        <w:t>1. GST Analysis      -&gt; Significant ITC discrepancy detected with a variance of 54900.0% -&gt; increases risk</w:t>
      </w:r>
    </w:p>
    <w:p>
      <w:pPr>
        <w:spacing w:after="40"/>
      </w:pPr>
      <w:r>
        <w:rPr>
          <w:rFonts w:ascii="Arial" w:hAnsi="Arial"/>
          <w:b w:val="0"/>
          <w:sz w:val="18"/>
        </w:rPr>
        <w:t>2. Bank Statements   -&gt; Average monthly credits and debits are high, but no EMI bounces or cheque returns -&gt; decreases risk</w:t>
      </w:r>
    </w:p>
    <w:p>
      <w:pPr>
        <w:spacing w:after="40"/>
      </w:pPr>
      <w:r>
        <w:rPr>
          <w:rFonts w:ascii="Arial" w:hAnsi="Arial"/>
          <w:b w:val="0"/>
          <w:sz w:val="18"/>
        </w:rPr>
        <w:t>3. External Research -&gt; No negative news, litigation, or regulatory actions found -&gt; decreases risk</w:t>
      </w:r>
    </w:p>
    <w:p>
      <w:pPr>
        <w:spacing w:after="40"/>
      </w:pPr>
      <w:r>
        <w:rPr>
          <w:rFonts w:ascii="Arial" w:hAnsi="Arial"/>
          <w:b w:val="0"/>
          <w:sz w:val="18"/>
        </w:rPr>
        <w:t>4. Primary Inputs    -&gt; Officer observation of debt/equity ratio, collateral coverage, and promoter score -&gt; decreases risk</w:t>
      </w:r>
    </w:p>
    <w:p>
      <w:pPr>
        <w:spacing w:after="40"/>
      </w:pPr>
      <w:r>
        <w:rPr>
          <w:rFonts w:ascii="Arial" w:hAnsi="Arial"/>
          <w:b/>
          <w:sz w:val="18"/>
        </w:rPr>
        <w:t>DECISIVE FACTOR: The significant ITC discrepancy detected in the GST analysis is the single biggest reason for the conditional approval decision, as it raises concerns about potential tax evasion or fraud.</w:t>
      </w:r>
    </w:p>
    <w:p>
      <w:pPr>
        <w:spacing w:after="40"/>
      </w:pPr>
      <w:r>
        <w:rPr>
          <w:rFonts w:ascii="Arial" w:hAnsi="Arial"/>
          <w:b w:val="0"/>
          <w:sz w:val="18"/>
        </w:rPr>
        <w:t>EARLY WARNING SIGNALS:</w:t>
      </w:r>
    </w:p>
    <w:p>
      <w:pPr>
        <w:spacing w:after="40"/>
      </w:pPr>
      <w:r>
        <w:rPr>
          <w:rFonts w:ascii="Arial" w:hAnsi="Arial"/>
          <w:b w:val="0"/>
          <w:sz w:val="18"/>
        </w:rPr>
        <w:t>- Any further discrepancies in GST filings or payments</w:t>
      </w:r>
    </w:p>
    <w:p>
      <w:pPr>
        <w:spacing w:after="40"/>
      </w:pPr>
      <w:r>
        <w:rPr>
          <w:rFonts w:ascii="Arial" w:hAnsi="Arial"/>
          <w:b w:val="0"/>
          <w:sz w:val="18"/>
        </w:rPr>
        <w:t>- Significant changes in bank statement patterns or credit behavior</w:t>
      </w:r>
    </w:p>
    <w:p>
      <w:pPr>
        <w:spacing w:after="40"/>
      </w:pPr>
      <w:r>
        <w:rPr>
          <w:rFonts w:ascii="Arial" w:hAnsi="Arial"/>
          <w:b w:val="0"/>
          <w:sz w:val="18"/>
        </w:rPr>
        <w:t>- Adverse news or regulatory actions against the company</w:t>
      </w:r>
    </w:p>
    <w:p>
      <w:pPr>
        <w:spacing w:after="40"/>
      </w:pPr>
      <w:r>
        <w:rPr>
          <w:rFonts w:ascii="Arial" w:hAnsi="Arial"/>
          <w:b/>
          <w:sz w:val="18"/>
        </w:rPr>
        <w:t>LOAN CONDITIONS:</w:t>
      </w:r>
    </w:p>
    <w:p>
      <w:pPr>
        <w:spacing w:after="40"/>
      </w:pPr>
      <w:r>
        <w:rPr>
          <w:rFonts w:ascii="Arial" w:hAnsi="Arial"/>
          <w:b w:val="0"/>
          <w:sz w:val="18"/>
        </w:rPr>
        <w:t>- The company must provide a satisfactory explanation for the ITC discrepancy and undertake a GST audit within the next 6 months</w:t>
      </w:r>
    </w:p>
    <w:p>
      <w:pPr>
        <w:spacing w:after="40"/>
      </w:pPr>
      <w:r>
        <w:rPr>
          <w:rFonts w:ascii="Arial" w:hAnsi="Arial"/>
          <w:b w:val="0"/>
          <w:sz w:val="18"/>
        </w:rPr>
        <w:t>- The company must maintain a minimum debt service coverage ratio (DSCR) of 4x during the loan tenure</w:t>
      </w:r>
    </w:p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7 — RECOMMENDATION</w:t>
      </w:r>
    </w:p>
    <w:p>
      <w:r>
        <w:rPr>
          <w:rFonts w:ascii="Arial" w:hAnsi="Arial"/>
          <w:b/>
          <w:color w:val="1A6B2A"/>
          <w:sz w:val="26"/>
        </w:rPr>
        <w:t>DECISION: APPROVED</w:t>
      </w:r>
    </w:p>
    <w:p>
      <w:r>
        <w:rPr>
          <w:rFonts w:ascii="Arial" w:hAnsi="Arial"/>
          <w:sz w:val="18"/>
        </w:rPr>
        <w:t>Decisive Factor: The significant ITC discrepancy detected in the GST analysis is the single biggest reason for the conditional approval decision, as it raises concerns about potential tax evasion or fraud.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C5068"/>
        <w:sz w:val="15"/>
      </w:rPr>
      <w:t>Ref: CAM/2026/LAKM/03081700  |  Intelli-Credit Bank  |  STRICTLY CONFIDENTIAL  |  08 Mar 2026  |  Intelli-Credit AI Engine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