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CAM/2026/LAKM/03081710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e8f5ea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6B2A"/>
                <w:sz w:val="18"/>
              </w:rPr>
              <w:t>APPROVED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248,480,339 (2484.80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8.60%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08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CAM/2026/LAKM/03081710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0.012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248,480,339 (2484.80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8.60%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Debt / Equity Ratio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0.54x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Worth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745,000,000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DSCR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5.89x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Profit Margin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12.4%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Avg Monthly Balance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771,226,087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Monthly Credit Avg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286,800,000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70%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Monthly credit avg estimated from total (12-month assumed).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9.0/10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Excellent character profile. Strong compliance history.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9.5/10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Excellent repayment capacity. Strong and consistent cash flows.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10.0/10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Strong capital base. Well-capitalized with low leverage.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8.7/10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1.9946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1.6548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1.4706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1.2937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Monitor GST filing regularity monthly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Track EMI payment pattern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Watch for sudden large cash withdrawals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Conditional Approval</w:t>
      </w:r>
    </w:p>
    <w:p>
      <w:pPr>
        <w:spacing w:after="40"/>
      </w:pPr>
      <w:r>
        <w:rPr>
          <w:rFonts w:ascii="Arial" w:hAnsi="Arial"/>
          <w:b/>
          <w:sz w:val="18"/>
        </w:rPr>
        <w:t>LIMIT: Rs.25 lakhs</w:t>
      </w:r>
    </w:p>
    <w:p>
      <w:pPr>
        <w:spacing w:after="40"/>
      </w:pPr>
      <w:r>
        <w:rPr>
          <w:rFonts w:ascii="Arial" w:hAnsi="Arial"/>
          <w:b/>
          <w:sz w:val="18"/>
        </w:rPr>
        <w:t>RATE: 12.5%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Data extracted successfully -&gt; Moderate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Credits indicate business activity -&gt; Neutral impact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major red flags found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Standard documentation received -&gt; Neutral impact</w:t>
      </w:r>
    </w:p>
    <w:p>
      <w:pPr>
        <w:spacing w:after="40"/>
      </w:pPr>
      <w:r>
        <w:rPr>
          <w:rFonts w:ascii="Arial" w:hAnsi="Arial"/>
          <w:b/>
          <w:sz w:val="18"/>
        </w:rPr>
        <w:t>DECISIVE FACTOR: Conditional approval pending verification of GST reconciliation.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Monitor GST filing regularity monthly</w:t>
      </w:r>
    </w:p>
    <w:p>
      <w:pPr>
        <w:spacing w:after="40"/>
      </w:pPr>
      <w:r>
        <w:rPr>
          <w:rFonts w:ascii="Arial" w:hAnsi="Arial"/>
          <w:b w:val="0"/>
          <w:sz w:val="18"/>
        </w:rPr>
        <w:t>- Track EMI payment pattern</w:t>
      </w:r>
    </w:p>
    <w:p>
      <w:pPr>
        <w:spacing w:after="40"/>
      </w:pPr>
      <w:r>
        <w:rPr>
          <w:rFonts w:ascii="Arial" w:hAnsi="Arial"/>
          <w:b w:val="0"/>
          <w:sz w:val="18"/>
        </w:rPr>
        <w:t>- Watch for sudden large cash withdrawals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Submit audited financials within 30 days</w:t>
      </w:r>
    </w:p>
    <w:p>
      <w:pPr>
        <w:spacing w:after="40"/>
      </w:pPr>
      <w:r>
        <w:rPr>
          <w:rFonts w:ascii="Arial" w:hAnsi="Arial"/>
          <w:b w:val="0"/>
          <w:sz w:val="18"/>
        </w:rPr>
        <w:t>- Collateral documentation required</w:t>
      </w:r>
    </w:p>
    <w:p>
      <w:pPr>
        <w:spacing w:after="40"/>
      </w:pPr>
      <w:r>
        <w:rPr>
          <w:rFonts w:ascii="Arial" w:hAnsi="Arial"/>
          <w:b w:val="0"/>
          <w:sz w:val="18"/>
        </w:rPr>
        <w:t>NOTE: LLM unavailable — rule-based fallback used.</w:t>
      </w:r>
    </w:p>
    <w:p>
      <w:pPr>
        <w:spacing w:after="40"/>
      </w:pPr>
      <w:r>
        <w:rPr>
          <w:rFonts w:ascii="Arial" w:hAnsi="Arial"/>
          <w:b w:val="0"/>
          <w:sz w:val="18"/>
        </w:rPr>
        <w:t>Financial Data Reviewed:</w:t>
      </w:r>
    </w:p>
    <w:p>
      <w:pPr>
        <w:spacing w:after="40"/>
      </w:pPr>
      <w:r>
        <w:rPr>
          <w:rFonts w:ascii="Arial" w:hAnsi="Arial"/>
          <w:b w:val="0"/>
          <w:sz w:val="18"/>
        </w:rPr>
        <w:t>GST RECONCILIATION (2A vs 3B):</w:t>
      </w:r>
    </w:p>
    <w:p>
      <w:pPr>
        <w:spacing w:after="40"/>
      </w:pPr>
      <w:r>
        <w:rPr>
          <w:rFonts w:ascii="Arial" w:hAnsi="Arial"/>
          <w:b w:val="0"/>
          <w:sz w:val="18"/>
        </w:rPr>
        <w:t>Mismatches Found: 0</w:t>
      </w:r>
    </w:p>
    <w:p>
      <w:pPr>
        <w:spacing w:after="40"/>
      </w:pPr>
      <w:r>
        <w:rPr>
          <w:rFonts w:ascii="Arial" w:hAnsi="Arial"/>
          <w:b w:val="0"/>
          <w:sz w:val="18"/>
        </w:rPr>
        <w:t>Risk Flag: False</w:t>
      </w:r>
    </w:p>
    <w:p>
      <w:pPr>
        <w:spacing w:after="40"/>
      </w:pPr>
      <w:r>
        <w:rPr>
          <w:rFonts w:ascii="Arial" w:hAnsi="Arial"/>
          <w:b w:val="0"/>
          <w:sz w:val="18"/>
        </w:rPr>
        <w:t>Max Variance: 0.0%</w:t>
      </w:r>
    </w:p>
    <w:p>
      <w:pPr>
        <w:spacing w:after="40"/>
      </w:pPr>
      <w:r>
        <w:rPr>
          <w:rFonts w:ascii="Arial" w:hAnsi="Arial"/>
          <w:b w:val="0"/>
          <w:sz w:val="18"/>
        </w:rPr>
        <w:t>Circular Trading: False</w:t>
      </w:r>
    </w:p>
    <w:p>
      <w:pPr>
        <w:spacing w:after="40"/>
      </w:pPr>
      <w:r>
        <w:rPr>
          <w:rFonts w:ascii="Arial" w:hAnsi="Arial"/>
          <w:b w:val="0"/>
          <w:sz w:val="18"/>
        </w:rPr>
        <w:t>Summary: GST reconciliation passed. GSTR-2A and GSTR-3B figures are consistent. No ITC manipulation detected.</w:t>
      </w:r>
    </w:p>
    <w:p>
      <w:pPr>
        <w:spacing w:after="40"/>
      </w:pPr>
      <w:r>
        <w:rPr>
          <w:rFonts w:ascii="Arial" w:hAnsi="Arial"/>
          <w:b w:val="0"/>
          <w:sz w:val="18"/>
        </w:rPr>
        <w:t>BANK STATEMENT DATA:</w:t>
      </w:r>
    </w:p>
    <w:p>
      <w:pPr>
        <w:spacing w:after="40"/>
      </w:pPr>
      <w:r>
        <w:rPr>
          <w:rFonts w:ascii="Arial" w:hAnsi="Arial"/>
          <w:b w:val="0"/>
          <w:sz w:val="18"/>
        </w:rPr>
        <w:t>Bank: Not specified</w:t>
      </w:r>
    </w:p>
    <w:p>
      <w:pPr>
        <w:spacing w:after="40"/>
      </w:pPr>
      <w:r>
        <w:rPr>
          <w:rFonts w:ascii="Arial" w:hAnsi="Arial"/>
          <w:b w:val="0"/>
          <w:sz w:val="18"/>
        </w:rPr>
        <w:t>Total Credits (6 months): Rs. 3,441,600,000  (Monthly avg: Rs. 573,600,000)</w:t>
      </w:r>
    </w:p>
    <w:p>
      <w:pPr>
        <w:spacing w:after="40"/>
      </w:pPr>
      <w:r>
        <w:rPr>
          <w:rFonts w:ascii="Arial" w:hAnsi="Arial"/>
          <w:b w:val="0"/>
          <w:sz w:val="18"/>
        </w:rPr>
        <w:t>Total Debits  (6 months): Rs. 2,050,800,000  (Monthly avg: Rs. 341,800,000)</w:t>
      </w:r>
    </w:p>
    <w:p>
      <w:pPr>
        <w:spacing w:after="40"/>
      </w:pPr>
      <w:r>
        <w:rPr>
          <w:rFonts w:ascii="Arial" w:hAnsi="Arial"/>
          <w:b w:val="0"/>
          <w:sz w:val="18"/>
        </w:rPr>
        <w:t>Avg Monthly Balance: Rs. 771,226,087</w:t>
      </w:r>
    </w:p>
    <w:p>
      <w:pPr>
        <w:spacing w:after="40"/>
      </w:pPr>
      <w:r>
        <w:rPr>
          <w:rFonts w:ascii="Arial" w:hAnsi="Arial"/>
          <w:b w:val="0"/>
          <w:sz w:val="18"/>
        </w:rPr>
        <w:t>EMI Bounces: 1</w:t>
      </w:r>
    </w:p>
    <w:p>
      <w:pPr>
        <w:spacing w:after="40"/>
      </w:pPr>
      <w:r>
        <w:rPr>
          <w:rFonts w:ascii="Arial" w:hAnsi="Arial"/>
          <w:b w:val="0"/>
          <w:sz w:val="18"/>
        </w:rPr>
        <w:t>ITR DATA: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1A6B2A"/>
          <w:sz w:val="26"/>
        </w:rPr>
        <w:t>DECISION: APPROVED</w:t>
      </w:r>
    </w:p>
    <w:p>
      <w:r>
        <w:rPr>
          <w:rFonts w:ascii="Arial" w:hAnsi="Arial"/>
          <w:sz w:val="18"/>
        </w:rPr>
        <w:t>Decisive Factor: Conditional approval pending verification of GST reconciliation.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CAM/2026/LAKM/03081710  |  Intelli-Credit Bank  |  STRICTLY CONFIDENTIAL  |  08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