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CAM/2026/LAKM/03091531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CAM/2026/LAKM/03091531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0.012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771,226,087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286,800,000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8.7/10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1.9116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1.6407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1.4723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1.3013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increase in EMI bounces or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Significant deviations in GST payments or reconciliations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changes in the company's debt-equity ratio or interest coverage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Rs.2484.80 Lakhs</w:t>
      </w:r>
    </w:p>
    <w:p>
      <w:pPr>
        <w:spacing w:after="40"/>
      </w:pPr>
      <w:r>
        <w:rPr>
          <w:rFonts w:ascii="Arial" w:hAnsi="Arial"/>
          <w:b/>
          <w:sz w:val="18"/>
        </w:rPr>
        <w:t>RATE: 8.60%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detected, and GST payments are regular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credits and debits are consistent, with only one EMI bounce in six months -&gt; slightly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0.54, indicating a healthy balance between debt and equity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evidenced by its high net profit margin and low debt-equity ratio, is the primary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increase in EMI bounces or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Significant deviations in GST payments or reconciliations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changes in the company's debt-equity ratio or interest coverage ratio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debt-service coverage ratio (DSCR) of 4.0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updates on its financial performance and GST compliance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evidenced by its high net profit margin and low debt-equity ratio, is the primary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CAM/2026/LAKM/03091531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