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CAM/2026/LAKM/03091537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CAM/2026/LAKM/03091537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0.012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771,226,087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286,800,000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8.7/10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1.9946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1.6548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1.4706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1.2937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EMI bounces or cheque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Deterioration in GST payment regularity or detection of circular trading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changes in the company's debt/equity ratio or interest coverage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Rs.2484.80 Lakhs</w:t>
      </w:r>
    </w:p>
    <w:p>
      <w:pPr>
        <w:spacing w:after="40"/>
      </w:pPr>
      <w:r>
        <w:rPr>
          <w:rFonts w:ascii="Arial" w:hAnsi="Arial"/>
          <w:b/>
          <w:sz w:val="18"/>
        </w:rPr>
        <w:t>RATE: 8.60%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detected, and GST payments are regular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balance is high, and only one EMI bounce in six months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Officer observation of debt/equity ratio, collateral coverage, and promoter score indicates low risk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evidenced by its high net profit margin, low debt/equity ratio, and regular GST payments, is the primary reason for the approval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EMI bounces or cheque returns</w:t>
      </w:r>
    </w:p>
    <w:p>
      <w:pPr>
        <w:spacing w:after="40"/>
      </w:pPr>
      <w:r>
        <w:rPr>
          <w:rFonts w:ascii="Arial" w:hAnsi="Arial"/>
          <w:b w:val="0"/>
          <w:sz w:val="18"/>
        </w:rPr>
        <w:t>- Deterioration in GST payment regularity or detection of circular trading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changes in the company's debt/equity ratio or interest coverage ratio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average monthly balance of Rs. 500,000,000 in its account with the bank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quarterly updates on its financial performance and GST compliance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evidenced by its high net profit margin, low debt/equity ratio, and regular GST payments, is the primary reason for the approval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CAM/2026/LAKM/03091537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