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CAM/2026/LAKM/03091551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CAM/2026/LAKM/03091551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7.2/10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2.2813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1.5137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1.4592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1.2706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debt-equity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DSCR below 3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Appearance of negative news or regulatory actions against the company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detected, and GST payments are regular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credit and debit transactions with no EMI bounces, indicating good cash flow management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found, suggesting a stable business environment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of 0.54 and a high DSCR of 5.89 indicate strong financial health and low debt burden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health, as evidenced by its high DSCR, low debt-equity ratio, and regular GST payments, is the primary reason for approving the loan.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debt-equity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DSCR below 3</w:t>
      </w:r>
    </w:p>
    <w:p>
      <w:pPr>
        <w:spacing w:after="40"/>
      </w:pPr>
      <w:r>
        <w:rPr>
          <w:rFonts w:ascii="Arial" w:hAnsi="Arial"/>
          <w:b w:val="0"/>
          <w:sz w:val="18"/>
        </w:rPr>
        <w:t>- Appearance of negative news or regulatory actions against the company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DSCR of 3 during the loan tenure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submit quarterly financial statements and GST returns to the bank for monitoring purposes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health, as evidenced by its high DSCR, low debt-equity ratio, and regular GST payments, is the primary reason for approving the loan.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CAM/2026/LAKM/03091551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