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CAM/2026/LAKM/03091558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CAM/2026/LAKM/03091558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2,100,000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estimated from total credits.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7.95/10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2.3123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1.5879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1.4674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1.2706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debt/equity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Decline in net profit margin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Irregularities in GST payments or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Rs.2495.97 Lakhs</w:t>
      </w:r>
    </w:p>
    <w:p>
      <w:pPr>
        <w:spacing w:after="40"/>
      </w:pPr>
      <w:r>
        <w:rPr>
          <w:rFonts w:ascii="Arial" w:hAnsi="Arial"/>
          <w:b/>
          <w:sz w:val="18"/>
        </w:rPr>
        <w:t>RATE: 8.53%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detected, and GST payments are regular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credit and debit transactions, with no EMI bounces or cheque returns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Strong financials, with a debt/equity ratio of 0.54 and a net profit margin of 12.4%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evidenced by its high net profit margin and low debt/equity ratio, is the primary reason for approving the loan.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debt/equity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Decline in net profit margin</w:t>
      </w:r>
    </w:p>
    <w:p>
      <w:pPr>
        <w:spacing w:after="40"/>
      </w:pPr>
      <w:r>
        <w:rPr>
          <w:rFonts w:ascii="Arial" w:hAnsi="Arial"/>
          <w:b w:val="0"/>
          <w:sz w:val="18"/>
        </w:rPr>
        <w:t>- Irregularities in GST payments or returns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 service coverage ratio (DSCR) of 4.0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quarterly financial statements and updates on its business performance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evidenced by its high net profit margin and low debt/equity ratio, is the primary reason for approving the loan.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CAM/2026/LAKM/03091558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