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Arial" w:hAnsi="Arial"/>
          <w:color w:val="0D1F5C"/>
          <w:sz w:val="28"/>
        </w:rPr>
        <w:t>INTELLI-CREDIT BANK</w:t>
      </w:r>
    </w:p>
    <w:p>
      <w:pPr>
        <w:jc w:val="center"/>
      </w:pPr>
      <w:r>
        <w:rPr>
          <w:rFonts w:ascii="Arial" w:hAnsi="Arial"/>
          <w:color w:val="4C5068"/>
          <w:sz w:val="18"/>
        </w:rPr>
        <w:t>Credit Risk Management Division</w:t>
      </w:r>
    </w:p>
    <w:p/>
    <w:p>
      <w:pPr>
        <w:jc w:val="center"/>
      </w:pPr>
      <w:r>
        <w:rPr>
          <w:rFonts w:ascii="Arial" w:hAnsi="Arial"/>
          <w:b/>
          <w:color w:val="0D1F5C"/>
          <w:sz w:val="36"/>
        </w:rPr>
        <w:t>CREDIT APPRAISAL MEMORANDUM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Applicant / Borrower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CAM/2026/LAKM/03091607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4819"/>
            <w:shd w:fill="e8f5ea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1A6B2A"/>
                <w:sz w:val="18"/>
              </w:rPr>
              <w:t>APPROVED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248,480,339 (2484.80 Lakhs)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8.60% p.a.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Report Date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09 March 2026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Prepared By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Intelli-Credit AI Engine</w:t>
            </w:r>
          </w:p>
        </w:tc>
      </w:tr>
      <w:tr>
        <w:tc>
          <w:tcPr>
            <w:tcW w:type="dxa" w:w="28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Classification</w:t>
            </w:r>
          </w:p>
        </w:tc>
        <w:tc>
          <w:tcPr>
            <w:tcW w:type="dxa" w:w="4819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STRICTLY CONFIDENTIAL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Analyst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Credit Manager / AGM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Chief Credit Officer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Name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Signature</w:t>
              <w:br/>
              <w:br/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Date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1 — EXECUTIVE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Company / Borrower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Lakmé Cosmetics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GSTIN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N/A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Reference No.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CAM/2026/LAKM/03091607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AI Decision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APPROVED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Category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LOW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Risk Score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0.012 / 1.000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Loan Limit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248,480,339 (2484.80 Lakhs)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Interest Rate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8.60% p.a.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2 — FINANCIAL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Debt / Equity Ratio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0.54x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Worth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745,000,000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DSCR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5.89x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Net Profit Margin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12.4%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Avg Monthly Balance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11,850,000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Monthly Credit Avg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Rs. 286,800,000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Data Completeness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70%</w:t>
            </w:r>
          </w:p>
        </w:tc>
      </w:tr>
      <w:tr>
        <w:tc>
          <w:tcPr>
            <w:tcW w:type="dxa" w:w="2551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Note 1</w:t>
            </w:r>
          </w:p>
        </w:tc>
        <w:tc>
          <w:tcPr>
            <w:tcW w:type="dxa" w:w="5102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Monthly credit avg estimated from total (12-month assumed).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3 — FIVE Cs CREDIT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Score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Assessment Summary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Character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character profile. Strong compliance history.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Capacity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9.5/10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Excellent repayment capacity. Strong and consistent cash flows.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Capital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10.0/10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Strong capital base. Well-capitalized with low leverage.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Collateral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6.0/10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Adequate collateral. Loan well-secured.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Conditions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7.0/10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Neutral conditions. Standard sector risk.</w:t>
            </w:r>
          </w:p>
        </w:tc>
      </w:tr>
      <w:tr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OVERALL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sz w:val="18"/>
              </w:rPr>
              <w:t>8.7/10</w:t>
            </w:r>
          </w:p>
        </w:tc>
        <w:tc>
          <w:tcPr>
            <w:tcW w:type="dxa" w:w="3135"/>
            <w:shd w:fill="e8edf8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sz w:val="18"/>
              </w:rPr>
              <w:t>Weighted average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4 — AI RISK DRIVERS (SHAP)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Factor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SHAP Impact</w:t>
            </w:r>
          </w:p>
        </w:tc>
        <w:tc>
          <w:tcPr>
            <w:tcW w:type="dxa" w:w="3135"/>
            <w:shd w:fill="0d1f5c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Direction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GSTR 2A vs 3B Variance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1.9116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GST Filing Regularity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1.6407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EMI Bounce Count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1.4723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  <w:tr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Active Litigation</w:t>
            </w:r>
          </w:p>
        </w:tc>
        <w:tc>
          <w:tcPr>
            <w:tcW w:type="dxa" w:w="3135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1.3013</w:t>
            </w:r>
          </w:p>
        </w:tc>
        <w:tc>
          <w:tcPr>
            <w:tcW w:type="dxa" w:w="3135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decreases risk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5 — EARLY WARNING SIGNALS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Signal</w:t>
            </w:r>
          </w:p>
        </w:tc>
        <w:tc>
          <w:tcPr>
            <w:tcW w:type="dxa" w:w="4703"/>
            <w:shd w:fill="b85c00" w:val="clear" w:color="auto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/>
                <w:color w:val="FFFFFF"/>
                <w:sz w:val="18"/>
              </w:rPr>
              <w:t>Monitor Frequency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Any increase in EMI bounces or cheque returns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Monthly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Significant changes in the debt-equity ratio or interest coverage ratio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  <w:tr>
        <w:tc>
          <w:tcPr>
            <w:tcW w:type="dxa" w:w="4703"/>
          </w:tcPr>
          <w:p>
            <w:pPr>
              <w:spacing w:before="0" w:after="0"/>
              <w:jc w:val="left"/>
            </w:pPr>
            <w:r>
              <w:rPr>
                <w:rFonts w:ascii="Arial" w:hAnsi="Arial"/>
                <w:b w:val="0"/>
                <w:sz w:val="18"/>
              </w:rPr>
              <w:t>Adverse news or regulatory actions against the company</w:t>
            </w:r>
          </w:p>
        </w:tc>
        <w:tc>
          <w:tcPr>
            <w:tcW w:type="dxa" w:w="4703"/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 w:val="0"/>
                <w:sz w:val="18"/>
              </w:rPr>
              <w:t>Quarterly</w:t>
            </w:r>
          </w:p>
        </w:tc>
      </w:tr>
    </w:tbl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6 — AI REASONING CHAIN</w:t>
      </w:r>
    </w:p>
    <w:p>
      <w:pPr>
        <w:spacing w:after="40"/>
      </w:pPr>
      <w:r>
        <w:rPr>
          <w:rFonts w:ascii="Arial" w:hAnsi="Arial"/>
          <w:b/>
          <w:sz w:val="18"/>
        </w:rPr>
        <w:t>DECISION: Approve</w:t>
      </w:r>
    </w:p>
    <w:p>
      <w:pPr>
        <w:spacing w:after="40"/>
      </w:pPr>
      <w:r>
        <w:rPr>
          <w:rFonts w:ascii="Arial" w:hAnsi="Arial"/>
          <w:b/>
          <w:sz w:val="18"/>
        </w:rPr>
        <w:t>LIMIT: Rs.2484.80 Lakhs</w:t>
      </w:r>
    </w:p>
    <w:p>
      <w:pPr>
        <w:spacing w:after="40"/>
      </w:pPr>
      <w:r>
        <w:rPr>
          <w:rFonts w:ascii="Arial" w:hAnsi="Arial"/>
          <w:b/>
          <w:sz w:val="18"/>
        </w:rPr>
        <w:t>RATE: 8.60% per annum</w:t>
      </w:r>
    </w:p>
    <w:p>
      <w:pPr>
        <w:spacing w:after="40"/>
      </w:pPr>
      <w:r>
        <w:rPr>
          <w:rFonts w:ascii="Arial" w:hAnsi="Arial"/>
          <w:b/>
          <w:sz w:val="18"/>
        </w:rPr>
        <w:t>REASONING CHAIN:</w:t>
      </w:r>
    </w:p>
    <w:p>
      <w:pPr>
        <w:spacing w:after="40"/>
      </w:pPr>
      <w:r>
        <w:rPr>
          <w:rFonts w:ascii="Arial" w:hAnsi="Arial"/>
          <w:b w:val="0"/>
          <w:sz w:val="18"/>
        </w:rPr>
        <w:t>1. GST Analysis      -&gt; No mismatches or circular trading detected, and GST payments are regular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2. Bank Statements   -&gt; Average monthly credits and debits are consistent, with only one EMI bounce in six months -&gt; slightly increases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3. External Research -&gt; No negative news, litigation, or regulatory actions found, with a low news risk score -&gt; decreases risk</w:t>
      </w:r>
    </w:p>
    <w:p>
      <w:pPr>
        <w:spacing w:after="40"/>
      </w:pPr>
      <w:r>
        <w:rPr>
          <w:rFonts w:ascii="Arial" w:hAnsi="Arial"/>
          <w:b w:val="0"/>
          <w:sz w:val="18"/>
        </w:rPr>
        <w:t>4. Primary Inputs    -&gt; Debt/Equity ratio is 0.54, indicating a healthy balance between debt and equity, and the promoter score is 7/10 -&gt; decreases risk</w:t>
      </w:r>
    </w:p>
    <w:p>
      <w:pPr>
        <w:spacing w:after="40"/>
      </w:pPr>
      <w:r>
        <w:rPr>
          <w:rFonts w:ascii="Arial" w:hAnsi="Arial"/>
          <w:b/>
          <w:sz w:val="18"/>
        </w:rPr>
        <w:t>DECISIVE FACTOR: The company's strong financial performance, as evidenced by its high net profit margin of 12.4% and low debt-equity ratio of 0.54, is the primary reason for the approval decision.</w:t>
      </w:r>
    </w:p>
    <w:p>
      <w:pPr>
        <w:spacing w:after="40"/>
      </w:pPr>
      <w:r>
        <w:rPr>
          <w:rFonts w:ascii="Arial" w:hAnsi="Arial"/>
          <w:b w:val="0"/>
          <w:sz w:val="18"/>
        </w:rPr>
        <w:t>EARLY WARNING SIGNALS:</w:t>
      </w:r>
    </w:p>
    <w:p>
      <w:pPr>
        <w:spacing w:after="40"/>
      </w:pPr>
      <w:r>
        <w:rPr>
          <w:rFonts w:ascii="Arial" w:hAnsi="Arial"/>
          <w:b w:val="0"/>
          <w:sz w:val="18"/>
        </w:rPr>
        <w:t>- Any increase in EMI bounces or cheque returns</w:t>
      </w:r>
    </w:p>
    <w:p>
      <w:pPr>
        <w:spacing w:after="40"/>
      </w:pPr>
      <w:r>
        <w:rPr>
          <w:rFonts w:ascii="Arial" w:hAnsi="Arial"/>
          <w:b w:val="0"/>
          <w:sz w:val="18"/>
        </w:rPr>
        <w:t>- Significant changes in the debt-equity ratio or interest coverage ratio</w:t>
      </w:r>
    </w:p>
    <w:p>
      <w:pPr>
        <w:spacing w:after="40"/>
      </w:pPr>
      <w:r>
        <w:rPr>
          <w:rFonts w:ascii="Arial" w:hAnsi="Arial"/>
          <w:b w:val="0"/>
          <w:sz w:val="18"/>
        </w:rPr>
        <w:t>- Adverse news or regulatory actions against the company</w:t>
      </w:r>
    </w:p>
    <w:p>
      <w:pPr>
        <w:spacing w:after="40"/>
      </w:pPr>
      <w:r>
        <w:rPr>
          <w:rFonts w:ascii="Arial" w:hAnsi="Arial"/>
          <w:b/>
          <w:sz w:val="18"/>
        </w:rPr>
        <w:t>LOAN CONDITIONS: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maintain a minimum debt-service coverage ratio (DSCR) of 4.0</w:t>
      </w:r>
    </w:p>
    <w:p>
      <w:pPr>
        <w:spacing w:after="40"/>
      </w:pPr>
      <w:r>
        <w:rPr>
          <w:rFonts w:ascii="Arial" w:hAnsi="Arial"/>
          <w:b w:val="0"/>
          <w:sz w:val="18"/>
        </w:rPr>
        <w:t>- The company must provide quarterly updates on its financial performance and GST compliance</w:t>
      </w:r>
    </w:p>
    <w:p/>
    <w:p>
      <w:pPr>
        <w:spacing w:before="240" w:after="100"/>
        <w:pBdr>
          <w:left w:val="single" w:sz="18" w:space="6" w:color="0d1f5c"/>
        </w:pBdr>
      </w:pPr>
      <w:r>
        <w:rPr>
          <w:rFonts w:ascii="Arial" w:hAnsi="Arial"/>
          <w:b/>
          <w:color w:val="1A3080"/>
          <w:sz w:val="22"/>
        </w:rPr>
        <w:t>SECTION 7 — RECOMMENDATION</w:t>
      </w:r>
    </w:p>
    <w:p>
      <w:r>
        <w:rPr>
          <w:rFonts w:ascii="Arial" w:hAnsi="Arial"/>
          <w:b/>
          <w:color w:val="1A6B2A"/>
          <w:sz w:val="26"/>
        </w:rPr>
        <w:t>DECISION: APPROVED</w:t>
      </w:r>
    </w:p>
    <w:p>
      <w:r>
        <w:rPr>
          <w:rFonts w:ascii="Arial" w:hAnsi="Arial"/>
          <w:sz w:val="18"/>
        </w:rPr>
        <w:t>Decisive Factor: The company's strong financial performance, as evidenced by its high net profit margin of 12.4% and low debt-equity ratio of 0.54, is the primary reason for the approval decision.</w:t>
      </w:r>
    </w:p>
    <w:sectPr w:rsidR="00FC693F" w:rsidRPr="0006063C" w:rsidSect="00034616">
      <w:footerReference w:type="default" r:id="rId9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C5068"/>
        <w:sz w:val="15"/>
      </w:rPr>
      <w:t>Ref: CAM/2026/LAKM/03091607  |  Intelli-Credit Bank  |  STRICTLY CONFIDENTIAL  |  09 Mar 2026  |  Intelli-Credit AI Engine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