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0D1F5C"/>
          <w:sz w:val="28"/>
        </w:rPr>
        <w:t>INTELLI-CREDIT BANK</w:t>
      </w:r>
    </w:p>
    <w:p>
      <w:pPr>
        <w:jc w:val="center"/>
      </w:pPr>
      <w:r>
        <w:rPr>
          <w:rFonts w:ascii="Arial" w:hAnsi="Arial"/>
          <w:color w:val="4C5068"/>
          <w:sz w:val="18"/>
        </w:rPr>
        <w:t>Credit Risk Management Division</w:t>
      </w:r>
    </w:p>
    <w:p/>
    <w:p>
      <w:pPr>
        <w:jc w:val="center"/>
      </w:pPr>
      <w:r>
        <w:rPr>
          <w:rFonts w:ascii="Arial" w:hAnsi="Arial"/>
          <w:b/>
          <w:color w:val="0D1F5C"/>
          <w:sz w:val="36"/>
        </w:rPr>
        <w:t>CREDIT APPRAISAL MEMORANDUM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Applicant / Borrower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CAM/2026/LAKM/03091615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4819"/>
            <w:shd w:fill="e8f5ea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6B2A"/>
                <w:sz w:val="18"/>
              </w:rPr>
              <w:t>APPROVED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248,887,562 (2488.88 Lakhs)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8.57% p.a.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Report Date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09 March 2026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Prepared By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Intelli-Credit AI Engine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Classification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STRICTLY CONFIDENTIAL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Analyst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Manager / AGM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Chief Credit Officer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Signature</w:t>
              <w:br/>
              <w:br/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1 —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Company / Borrower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GSTIN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CAM/2026/LAKM/03091615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APPROVED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Score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0.009 / 1.000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248,887,562 (2488.88 Lakhs)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8.57% p.a.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2 —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Debt / Equity Ratio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0.54x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Worth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745,000,000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DSCR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5.89x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Profit Margin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12.4%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Avg Monthly Balance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2,100,000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Monthly Credit Avg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14,000,000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Data Completeness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70%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1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Average monthly balance estimated from total credits.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2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Monthly credit avg estimated from total (12-month assumed).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3 — FIVE Cs CREDIT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Assessment Summary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Character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Good character with minor concerns. Monitor regularly.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Capacity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Good capacity with adequate cash flows to service debt.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Capital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10.0/10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Strong capital base. Well-capitalized with low leverage.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Collateral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Adequate collateral. Loan well-secured.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Conditions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Neutral conditions. Standard sector risk.</w:t>
            </w:r>
          </w:p>
        </w:tc>
      </w:tr>
      <w:tr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OVERALL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7.33/10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Weighted average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4 —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SHAP Impact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EMI Bounce Count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2.2323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 Filing Regularity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1.8729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Active Litigation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1.7433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Debt / Equity Ratio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0.6786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5 — EARLY WARNING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Monitor Frequency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Any further discrepancies in GST returns or ITC claims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Monthly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Significant increases in debt or decreases in net worth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Adverse changes in the company's credit rating or industry outlook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6 — AI REASONING CHAIN</w:t>
      </w:r>
    </w:p>
    <w:p>
      <w:pPr>
        <w:spacing w:after="40"/>
      </w:pPr>
      <w:r>
        <w:rPr>
          <w:rFonts w:ascii="Arial" w:hAnsi="Arial"/>
          <w:b/>
          <w:sz w:val="18"/>
        </w:rPr>
        <w:t>DECISION: Conditional Approval</w:t>
      </w:r>
    </w:p>
    <w:p>
      <w:pPr>
        <w:spacing w:after="40"/>
      </w:pPr>
      <w:r>
        <w:rPr>
          <w:rFonts w:ascii="Arial" w:hAnsi="Arial"/>
          <w:b/>
          <w:sz w:val="18"/>
        </w:rPr>
        <w:t>LIMIT: Rs.2488.88 Lakhs</w:t>
      </w:r>
    </w:p>
    <w:p>
      <w:pPr>
        <w:spacing w:after="40"/>
      </w:pPr>
      <w:r>
        <w:rPr>
          <w:rFonts w:ascii="Arial" w:hAnsi="Arial"/>
          <w:b/>
          <w:sz w:val="18"/>
        </w:rPr>
        <w:t>RATE: 8.57% per annum</w:t>
      </w:r>
    </w:p>
    <w:p>
      <w:pPr>
        <w:spacing w:after="40"/>
      </w:pPr>
      <w:r>
        <w:rPr>
          <w:rFonts w:ascii="Arial" w:hAnsi="Arial"/>
          <w:b/>
          <w:sz w:val="18"/>
        </w:rPr>
        <w:t>REASONING CHAIN:</w:t>
      </w:r>
    </w:p>
    <w:p>
      <w:pPr>
        <w:spacing w:after="40"/>
      </w:pPr>
      <w:r>
        <w:rPr>
          <w:rFonts w:ascii="Arial" w:hAnsi="Arial"/>
          <w:b w:val="0"/>
          <w:sz w:val="18"/>
        </w:rPr>
        <w:t>1. GST Analysis      -&gt; Significant ITC discrepancy detected with a 59.42% variance between 2A and 3B returns -&gt; increases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2. Bank Statements   -&gt; Average monthly credits and debits are reasonable, with no EMI bounces or cheque returns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3. External Research -&gt; No negative news, litigation, or regulatory actions found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4. Primary Inputs    -&gt; Debt/Equity ratio is 0.54, indicating a moderate level of debt -&gt; neutral impact on risk</w:t>
      </w:r>
    </w:p>
    <w:p>
      <w:pPr>
        <w:spacing w:after="40"/>
      </w:pPr>
      <w:r>
        <w:rPr>
          <w:rFonts w:ascii="Arial" w:hAnsi="Arial"/>
          <w:b/>
          <w:sz w:val="18"/>
        </w:rPr>
        <w:t>DECISIVE FACTOR: The significant ITC discrepancy detected in the GST analysis is the primary reason for the conditional approval, as it raises concerns about potential tax evasion or misrepresentation of financials.</w:t>
      </w:r>
    </w:p>
    <w:p>
      <w:pPr>
        <w:spacing w:after="40"/>
      </w:pPr>
      <w:r>
        <w:rPr>
          <w:rFonts w:ascii="Arial" w:hAnsi="Arial"/>
          <w:b w:val="0"/>
          <w:sz w:val="18"/>
        </w:rPr>
        <w:t>EARLY WARNING SIGNALS:</w:t>
      </w:r>
    </w:p>
    <w:p>
      <w:pPr>
        <w:spacing w:after="40"/>
      </w:pPr>
      <w:r>
        <w:rPr>
          <w:rFonts w:ascii="Arial" w:hAnsi="Arial"/>
          <w:b w:val="0"/>
          <w:sz w:val="18"/>
        </w:rPr>
        <w:t>- Any further discrepancies in GST returns or ITC claims</w:t>
      </w:r>
    </w:p>
    <w:p>
      <w:pPr>
        <w:spacing w:after="40"/>
      </w:pPr>
      <w:r>
        <w:rPr>
          <w:rFonts w:ascii="Arial" w:hAnsi="Arial"/>
          <w:b w:val="0"/>
          <w:sz w:val="18"/>
        </w:rPr>
        <w:t>- Significant increases in debt or decreases in net worth</w:t>
      </w:r>
    </w:p>
    <w:p>
      <w:pPr>
        <w:spacing w:after="40"/>
      </w:pPr>
      <w:r>
        <w:rPr>
          <w:rFonts w:ascii="Arial" w:hAnsi="Arial"/>
          <w:b w:val="0"/>
          <w:sz w:val="18"/>
        </w:rPr>
        <w:t>- Adverse changes in the company's credit rating or industry outlook</w:t>
      </w:r>
    </w:p>
    <w:p>
      <w:pPr>
        <w:spacing w:after="40"/>
      </w:pPr>
      <w:r>
        <w:rPr>
          <w:rFonts w:ascii="Arial" w:hAnsi="Arial"/>
          <w:b/>
          <w:sz w:val="18"/>
        </w:rPr>
        <w:t>LOAN CONDITIONS:</w:t>
      </w:r>
    </w:p>
    <w:p>
      <w:pPr>
        <w:spacing w:after="40"/>
      </w:pPr>
      <w:r>
        <w:rPr>
          <w:rFonts w:ascii="Arial" w:hAnsi="Arial"/>
          <w:b w:val="0"/>
          <w:sz w:val="18"/>
        </w:rPr>
        <w:t>- The company must provide a satisfactory explanation for the ITC discrepancy and rectify it before loan disbursement</w:t>
      </w:r>
    </w:p>
    <w:p>
      <w:pPr>
        <w:spacing w:after="40"/>
      </w:pPr>
      <w:r>
        <w:rPr>
          <w:rFonts w:ascii="Arial" w:hAnsi="Arial"/>
          <w:b w:val="0"/>
          <w:sz w:val="18"/>
        </w:rPr>
        <w:t>- The company must maintain a minimum debt-to-equity ratio of 0.6 and provide quarterly financial statements to the bank for monitoring purposes</w:t>
      </w:r>
    </w:p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7 — RECOMMENDATION</w:t>
      </w:r>
    </w:p>
    <w:p>
      <w:r>
        <w:rPr>
          <w:rFonts w:ascii="Arial" w:hAnsi="Arial"/>
          <w:b/>
          <w:color w:val="1A6B2A"/>
          <w:sz w:val="26"/>
        </w:rPr>
        <w:t>DECISION: APPROVED</w:t>
      </w:r>
    </w:p>
    <w:p>
      <w:r>
        <w:rPr>
          <w:rFonts w:ascii="Arial" w:hAnsi="Arial"/>
          <w:sz w:val="18"/>
        </w:rPr>
        <w:t>Decisive Factor: The significant ITC discrepancy detected in the GST analysis is the primary reason for the conditional approval, as it raises concerns about potential tax evasion or misrepresentation of financials.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C5068"/>
        <w:sz w:val="15"/>
      </w:rPr>
      <w:t>Ref: CAM/2026/LAKM/03091615  |  Intelli-Credit Bank  |  STRICTLY CONFIDENTIAL  |  09 Mar 2026  |  Intelli-Credit AI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