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color w:val="0D1F5C"/>
          <w:sz w:val="28"/>
        </w:rPr>
        <w:t>INTELLI-CREDIT BANK</w:t>
      </w:r>
    </w:p>
    <w:p>
      <w:pPr>
        <w:jc w:val="center"/>
      </w:pPr>
      <w:r>
        <w:rPr>
          <w:rFonts w:ascii="Arial" w:hAnsi="Arial"/>
          <w:color w:val="4C5068"/>
          <w:sz w:val="18"/>
        </w:rPr>
        <w:t>Credit Risk Management Division</w:t>
      </w:r>
    </w:p>
    <w:p/>
    <w:p>
      <w:pPr>
        <w:jc w:val="center"/>
      </w:pPr>
      <w:r>
        <w:rPr>
          <w:rFonts w:ascii="Arial" w:hAnsi="Arial"/>
          <w:b/>
          <w:color w:val="0D1F5C"/>
          <w:sz w:val="36"/>
        </w:rPr>
        <w:t>CREDIT APPRAISAL MEMORANDUM</w:t>
      </w:r>
    </w:p>
    <w:p/>
    <w:tbl>
      <w:tblPr>
        <w:tblStyle w:val="TableGrid"/>
        <w:tblW w:type="auto" w:w="0"/>
        <w:tblLook w:firstColumn="1" w:firstRow="1" w:lastColumn="0" w:lastRow="0" w:noHBand="0" w:noVBand="1" w:val="04A0"/>
      </w:tblPr>
      <w:tblGrid>
        <w:gridCol w:w="4703"/>
        <w:gridCol w:w="4703"/>
      </w:tblGrid>
      <w:tr>
        <w:tc>
          <w:tcPr>
            <w:tcW w:type="dxa" w:w="2835"/>
            <w:shd w:fill="e8edf8" w:val="clear" w:color="auto"/>
          </w:tcPr>
          <w:p>
            <w:pPr>
              <w:spacing w:before="0" w:after="0"/>
              <w:jc w:val="left"/>
            </w:pPr>
            <w:r>
              <w:rPr>
                <w:rFonts w:ascii="Arial" w:hAnsi="Arial"/>
                <w:b/>
                <w:sz w:val="18"/>
              </w:rPr>
              <w:t>Applicant / Borrower</w:t>
            </w:r>
          </w:p>
        </w:tc>
        <w:tc>
          <w:tcPr>
            <w:tcW w:type="dxa" w:w="4819"/>
          </w:tcPr>
          <w:p>
            <w:pPr>
              <w:spacing w:before="0" w:after="0"/>
              <w:jc w:val="left"/>
            </w:pPr>
            <w:r>
              <w:rPr>
                <w:rFonts w:ascii="Arial" w:hAnsi="Arial"/>
                <w:b w:val="0"/>
                <w:sz w:val="18"/>
              </w:rPr>
              <w:t>Lakmé Cosmetics</w:t>
            </w:r>
          </w:p>
        </w:tc>
      </w:tr>
      <w:tr>
        <w:tc>
          <w:tcPr>
            <w:tcW w:type="dxa" w:w="2835"/>
            <w:shd w:fill="e8edf8" w:val="clear" w:color="auto"/>
          </w:tcPr>
          <w:p>
            <w:pPr>
              <w:spacing w:before="0" w:after="0"/>
              <w:jc w:val="left"/>
            </w:pPr>
            <w:r>
              <w:rPr>
                <w:rFonts w:ascii="Arial" w:hAnsi="Arial"/>
                <w:b/>
                <w:sz w:val="18"/>
              </w:rPr>
              <w:t>Reference No.</w:t>
            </w:r>
          </w:p>
        </w:tc>
        <w:tc>
          <w:tcPr>
            <w:tcW w:type="dxa" w:w="4819"/>
          </w:tcPr>
          <w:p>
            <w:pPr>
              <w:spacing w:before="0" w:after="0"/>
              <w:jc w:val="left"/>
            </w:pPr>
            <w:r>
              <w:rPr>
                <w:rFonts w:ascii="Arial" w:hAnsi="Arial"/>
                <w:b w:val="0"/>
                <w:sz w:val="18"/>
              </w:rPr>
              <w:t>CAM/2026/LAKM/03091630</w:t>
            </w:r>
          </w:p>
        </w:tc>
      </w:tr>
      <w:tr>
        <w:tc>
          <w:tcPr>
            <w:tcW w:type="dxa" w:w="2835"/>
            <w:shd w:fill="e8edf8" w:val="clear" w:color="auto"/>
          </w:tcPr>
          <w:p>
            <w:pPr>
              <w:spacing w:before="0" w:after="0"/>
              <w:jc w:val="left"/>
            </w:pPr>
            <w:r>
              <w:rPr>
                <w:rFonts w:ascii="Arial" w:hAnsi="Arial"/>
                <w:b/>
                <w:sz w:val="18"/>
              </w:rPr>
              <w:t>AI Decision</w:t>
            </w:r>
          </w:p>
        </w:tc>
        <w:tc>
          <w:tcPr>
            <w:tcW w:type="dxa" w:w="4819"/>
            <w:shd w:fill="fff4e5" w:val="clear" w:color="auto"/>
          </w:tcPr>
          <w:p>
            <w:pPr>
              <w:spacing w:before="0" w:after="0"/>
              <w:jc w:val="left"/>
            </w:pPr>
            <w:r>
              <w:rPr>
                <w:rFonts w:ascii="Arial" w:hAnsi="Arial"/>
                <w:b/>
                <w:color w:val="B85C00"/>
                <w:sz w:val="18"/>
              </w:rPr>
              <w:t>CONDITIONAL APPROVAL</w:t>
            </w:r>
          </w:p>
        </w:tc>
      </w:tr>
      <w:tr>
        <w:tc>
          <w:tcPr>
            <w:tcW w:type="dxa" w:w="2835"/>
            <w:shd w:fill="e8edf8" w:val="clear" w:color="auto"/>
          </w:tcPr>
          <w:p>
            <w:pPr>
              <w:spacing w:before="0" w:after="0"/>
              <w:jc w:val="left"/>
            </w:pPr>
            <w:r>
              <w:rPr>
                <w:rFonts w:ascii="Arial" w:hAnsi="Arial"/>
                <w:b/>
                <w:sz w:val="18"/>
              </w:rPr>
              <w:t>Risk Category</w:t>
            </w:r>
          </w:p>
        </w:tc>
        <w:tc>
          <w:tcPr>
            <w:tcW w:type="dxa" w:w="4819"/>
          </w:tcPr>
          <w:p>
            <w:pPr>
              <w:spacing w:before="0" w:after="0"/>
              <w:jc w:val="left"/>
            </w:pPr>
            <w:r>
              <w:rPr>
                <w:rFonts w:ascii="Arial" w:hAnsi="Arial"/>
                <w:b w:val="0"/>
                <w:sz w:val="18"/>
              </w:rPr>
              <w:t>MEDIUM</w:t>
            </w:r>
          </w:p>
        </w:tc>
      </w:tr>
      <w:tr>
        <w:tc>
          <w:tcPr>
            <w:tcW w:type="dxa" w:w="2835"/>
            <w:shd w:fill="e8edf8" w:val="clear" w:color="auto"/>
          </w:tcPr>
          <w:p>
            <w:pPr>
              <w:spacing w:before="0" w:after="0"/>
              <w:jc w:val="left"/>
            </w:pPr>
            <w:r>
              <w:rPr>
                <w:rFonts w:ascii="Arial" w:hAnsi="Arial"/>
                <w:b/>
                <w:sz w:val="18"/>
              </w:rPr>
              <w:t>Loan Limit</w:t>
            </w:r>
          </w:p>
        </w:tc>
        <w:tc>
          <w:tcPr>
            <w:tcW w:type="dxa" w:w="4819"/>
          </w:tcPr>
          <w:p>
            <w:pPr>
              <w:spacing w:before="0" w:after="0"/>
              <w:jc w:val="left"/>
            </w:pPr>
            <w:r>
              <w:rPr>
                <w:rFonts w:ascii="Arial" w:hAnsi="Arial"/>
                <w:b w:val="0"/>
                <w:sz w:val="18"/>
              </w:rPr>
              <w:t>Rs. 206,250,000 (2062.50 Lakhs)</w:t>
            </w:r>
          </w:p>
        </w:tc>
      </w:tr>
      <w:tr>
        <w:tc>
          <w:tcPr>
            <w:tcW w:type="dxa" w:w="2835"/>
            <w:shd w:fill="e8edf8" w:val="clear" w:color="auto"/>
          </w:tcPr>
          <w:p>
            <w:pPr>
              <w:spacing w:before="0" w:after="0"/>
              <w:jc w:val="left"/>
            </w:pPr>
            <w:r>
              <w:rPr>
                <w:rFonts w:ascii="Arial" w:hAnsi="Arial"/>
                <w:b/>
                <w:sz w:val="18"/>
              </w:rPr>
              <w:t>Interest Rate</w:t>
            </w:r>
          </w:p>
        </w:tc>
        <w:tc>
          <w:tcPr>
            <w:tcW w:type="dxa" w:w="4819"/>
          </w:tcPr>
          <w:p>
            <w:pPr>
              <w:spacing w:before="0" w:after="0"/>
              <w:jc w:val="left"/>
            </w:pPr>
            <w:r>
              <w:rPr>
                <w:rFonts w:ascii="Arial" w:hAnsi="Arial"/>
                <w:b w:val="0"/>
                <w:sz w:val="18"/>
              </w:rPr>
              <w:t>11.30% p.a.</w:t>
            </w:r>
          </w:p>
        </w:tc>
      </w:tr>
      <w:tr>
        <w:tc>
          <w:tcPr>
            <w:tcW w:type="dxa" w:w="2835"/>
            <w:shd w:fill="e8edf8" w:val="clear" w:color="auto"/>
          </w:tcPr>
          <w:p>
            <w:pPr>
              <w:spacing w:before="0" w:after="0"/>
              <w:jc w:val="left"/>
            </w:pPr>
            <w:r>
              <w:rPr>
                <w:rFonts w:ascii="Arial" w:hAnsi="Arial"/>
                <w:b/>
                <w:sz w:val="18"/>
              </w:rPr>
              <w:t>Report Date</w:t>
            </w:r>
          </w:p>
        </w:tc>
        <w:tc>
          <w:tcPr>
            <w:tcW w:type="dxa" w:w="4819"/>
          </w:tcPr>
          <w:p>
            <w:pPr>
              <w:spacing w:before="0" w:after="0"/>
              <w:jc w:val="left"/>
            </w:pPr>
            <w:r>
              <w:rPr>
                <w:rFonts w:ascii="Arial" w:hAnsi="Arial"/>
                <w:b w:val="0"/>
                <w:sz w:val="18"/>
              </w:rPr>
              <w:t>09 March 2026</w:t>
            </w:r>
          </w:p>
        </w:tc>
      </w:tr>
      <w:tr>
        <w:tc>
          <w:tcPr>
            <w:tcW w:type="dxa" w:w="2835"/>
            <w:shd w:fill="e8edf8" w:val="clear" w:color="auto"/>
          </w:tcPr>
          <w:p>
            <w:pPr>
              <w:spacing w:before="0" w:after="0"/>
              <w:jc w:val="left"/>
            </w:pPr>
            <w:r>
              <w:rPr>
                <w:rFonts w:ascii="Arial" w:hAnsi="Arial"/>
                <w:b/>
                <w:sz w:val="18"/>
              </w:rPr>
              <w:t>Prepared By</w:t>
            </w:r>
          </w:p>
        </w:tc>
        <w:tc>
          <w:tcPr>
            <w:tcW w:type="dxa" w:w="4819"/>
          </w:tcPr>
          <w:p>
            <w:pPr>
              <w:spacing w:before="0" w:after="0"/>
              <w:jc w:val="left"/>
            </w:pPr>
            <w:r>
              <w:rPr>
                <w:rFonts w:ascii="Arial" w:hAnsi="Arial"/>
                <w:b w:val="0"/>
                <w:sz w:val="18"/>
              </w:rPr>
              <w:t>Intelli-Credit AI Engine</w:t>
            </w:r>
          </w:p>
        </w:tc>
      </w:tr>
      <w:tr>
        <w:tc>
          <w:tcPr>
            <w:tcW w:type="dxa" w:w="2835"/>
            <w:shd w:fill="e8edf8" w:val="clear" w:color="auto"/>
          </w:tcPr>
          <w:p>
            <w:pPr>
              <w:spacing w:before="0" w:after="0"/>
              <w:jc w:val="left"/>
            </w:pPr>
            <w:r>
              <w:rPr>
                <w:rFonts w:ascii="Arial" w:hAnsi="Arial"/>
                <w:b/>
                <w:sz w:val="18"/>
              </w:rPr>
              <w:t>Classification</w:t>
            </w:r>
          </w:p>
        </w:tc>
        <w:tc>
          <w:tcPr>
            <w:tcW w:type="dxa" w:w="4819"/>
          </w:tcPr>
          <w:p>
            <w:pPr>
              <w:spacing w:before="0" w:after="0"/>
              <w:jc w:val="left"/>
            </w:pPr>
            <w:r>
              <w:rPr>
                <w:rFonts w:ascii="Arial" w:hAnsi="Arial"/>
                <w:b w:val="0"/>
                <w:sz w:val="18"/>
              </w:rPr>
              <w:t>STRICTLY CONFIDENTIAL</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fill="0d1f5c" w:val="clear" w:color="auto"/>
          </w:tcPr>
          <w:p>
            <w:pPr>
              <w:spacing w:before="0" w:after="0"/>
              <w:jc w:val="center"/>
            </w:pPr>
            <w:r>
              <w:rPr>
                <w:rFonts w:ascii="Arial" w:hAnsi="Arial"/>
                <w:b/>
                <w:color w:val="FFFFFF"/>
                <w:sz w:val="18"/>
              </w:rPr>
              <w:t>Credit Analyst</w:t>
            </w:r>
          </w:p>
        </w:tc>
        <w:tc>
          <w:tcPr>
            <w:tcW w:type="dxa" w:w="3135"/>
            <w:shd w:fill="0d1f5c" w:val="clear" w:color="auto"/>
          </w:tcPr>
          <w:p>
            <w:pPr>
              <w:spacing w:before="0" w:after="0"/>
              <w:jc w:val="center"/>
            </w:pPr>
            <w:r>
              <w:rPr>
                <w:rFonts w:ascii="Arial" w:hAnsi="Arial"/>
                <w:b/>
                <w:color w:val="FFFFFF"/>
                <w:sz w:val="18"/>
              </w:rPr>
              <w:t>Credit Manager / AGM</w:t>
            </w:r>
          </w:p>
        </w:tc>
        <w:tc>
          <w:tcPr>
            <w:tcW w:type="dxa" w:w="3135"/>
            <w:shd w:fill="0d1f5c" w:val="clear" w:color="auto"/>
          </w:tcPr>
          <w:p>
            <w:pPr>
              <w:spacing w:before="0" w:after="0"/>
              <w:jc w:val="center"/>
            </w:pPr>
            <w:r>
              <w:rPr>
                <w:rFonts w:ascii="Arial" w:hAnsi="Arial"/>
                <w:b/>
                <w:color w:val="FFFFFF"/>
                <w:sz w:val="18"/>
              </w:rPr>
              <w:t>Chief Credit Officer</w:t>
            </w:r>
          </w:p>
        </w:tc>
      </w:tr>
      <w:tr>
        <w:tc>
          <w:tcPr>
            <w:tcW w:type="dxa" w:w="3135"/>
          </w:tcPr>
          <w:p>
            <w:pPr>
              <w:spacing w:before="0" w:after="0"/>
              <w:jc w:val="left"/>
            </w:pPr>
            <w:r>
              <w:rPr>
                <w:rFonts w:ascii="Arial" w:hAnsi="Arial"/>
                <w:b/>
                <w:sz w:val="18"/>
              </w:rPr>
              <w:t>Name</w:t>
            </w:r>
          </w:p>
        </w:tc>
        <w:tc>
          <w:tcPr>
            <w:tcW w:type="dxa" w:w="3135"/>
          </w:tcPr>
          <w:p>
            <w:pPr>
              <w:spacing w:before="0" w:after="0"/>
              <w:jc w:val="left"/>
            </w:pPr>
            <w:r>
              <w:rPr>
                <w:rFonts w:ascii="Arial" w:hAnsi="Arial"/>
                <w:b w:val="0"/>
                <w:sz w:val="18"/>
              </w:rPr>
            </w:r>
          </w:p>
        </w:tc>
        <w:tc>
          <w:tcPr>
            <w:tcW w:type="dxa" w:w="3135"/>
          </w:tcPr>
          <w:p>
            <w:pPr>
              <w:spacing w:before="0" w:after="0"/>
              <w:jc w:val="left"/>
            </w:pPr>
            <w:r>
              <w:rPr>
                <w:rFonts w:ascii="Arial" w:hAnsi="Arial"/>
                <w:b w:val="0"/>
                <w:sz w:val="18"/>
              </w:rPr>
            </w:r>
          </w:p>
        </w:tc>
      </w:tr>
      <w:tr>
        <w:tc>
          <w:tcPr>
            <w:tcW w:type="dxa" w:w="3135"/>
          </w:tcPr>
          <w:p>
            <w:pPr>
              <w:spacing w:before="0" w:after="0"/>
              <w:jc w:val="left"/>
            </w:pPr>
            <w:r>
              <w:rPr>
                <w:rFonts w:ascii="Arial" w:hAnsi="Arial"/>
                <w:b/>
                <w:sz w:val="18"/>
              </w:rPr>
              <w:t>Signature</w:t>
              <w:br/>
              <w:br/>
            </w:r>
          </w:p>
        </w:tc>
        <w:tc>
          <w:tcPr>
            <w:tcW w:type="dxa" w:w="3135"/>
          </w:tcPr>
          <w:p>
            <w:pPr>
              <w:spacing w:before="0" w:after="0"/>
              <w:jc w:val="left"/>
            </w:pPr>
            <w:r>
              <w:rPr>
                <w:rFonts w:ascii="Arial" w:hAnsi="Arial"/>
                <w:b w:val="0"/>
                <w:sz w:val="18"/>
              </w:rPr>
            </w:r>
          </w:p>
        </w:tc>
        <w:tc>
          <w:tcPr>
            <w:tcW w:type="dxa" w:w="3135"/>
          </w:tcPr>
          <w:p>
            <w:pPr>
              <w:spacing w:before="0" w:after="0"/>
              <w:jc w:val="left"/>
            </w:pPr>
            <w:r>
              <w:rPr>
                <w:rFonts w:ascii="Arial" w:hAnsi="Arial"/>
                <w:b w:val="0"/>
                <w:sz w:val="18"/>
              </w:rPr>
            </w:r>
          </w:p>
        </w:tc>
      </w:tr>
      <w:tr>
        <w:tc>
          <w:tcPr>
            <w:tcW w:type="dxa" w:w="3135"/>
          </w:tcPr>
          <w:p>
            <w:pPr>
              <w:spacing w:before="0" w:after="0"/>
              <w:jc w:val="left"/>
            </w:pPr>
            <w:r>
              <w:rPr>
                <w:rFonts w:ascii="Arial" w:hAnsi="Arial"/>
                <w:b/>
                <w:sz w:val="18"/>
              </w:rPr>
              <w:t>Date</w:t>
            </w:r>
          </w:p>
        </w:tc>
        <w:tc>
          <w:tcPr>
            <w:tcW w:type="dxa" w:w="3135"/>
          </w:tcPr>
          <w:p>
            <w:pPr>
              <w:spacing w:before="0" w:after="0"/>
              <w:jc w:val="left"/>
            </w:pPr>
            <w:r>
              <w:rPr>
                <w:rFonts w:ascii="Arial" w:hAnsi="Arial"/>
                <w:b w:val="0"/>
                <w:sz w:val="18"/>
              </w:rPr>
            </w:r>
          </w:p>
        </w:tc>
        <w:tc>
          <w:tcPr>
            <w:tcW w:type="dxa" w:w="3135"/>
          </w:tcPr>
          <w:p>
            <w:pPr>
              <w:spacing w:before="0" w:after="0"/>
              <w:jc w:val="left"/>
            </w:pPr>
            <w:r>
              <w:rPr>
                <w:rFonts w:ascii="Arial" w:hAnsi="Arial"/>
                <w:b w:val="0"/>
                <w:sz w:val="18"/>
              </w:rPr>
            </w:r>
          </w:p>
        </w:tc>
      </w:tr>
    </w:tbl>
    <w:p>
      <w:r>
        <w:br w:type="page"/>
      </w:r>
    </w:p>
    <w:p>
      <w:pPr>
        <w:spacing w:before="240" w:after="100"/>
        <w:pBdr>
          <w:left w:val="single" w:sz="18" w:space="6" w:color="0d1f5c"/>
        </w:pBdr>
      </w:pPr>
      <w:r>
        <w:rPr>
          <w:rFonts w:ascii="Arial" w:hAnsi="Arial"/>
          <w:b/>
          <w:color w:val="1A3080"/>
          <w:sz w:val="22"/>
        </w:rPr>
        <w:t>SECTION 1 — EXECUTIVE SUMMARY</w:t>
      </w:r>
    </w:p>
    <w:tbl>
      <w:tblPr>
        <w:tblStyle w:val="TableGrid"/>
        <w:tblW w:type="auto" w:w="0"/>
        <w:tblLook w:firstColumn="1" w:firstRow="1" w:lastColumn="0" w:lastRow="0" w:noHBand="0" w:noVBand="1" w:val="04A0"/>
      </w:tblPr>
      <w:tblGrid>
        <w:gridCol w:w="4703"/>
        <w:gridCol w:w="4703"/>
      </w:tblGrid>
      <w:tr>
        <w:tc>
          <w:tcPr>
            <w:tcW w:type="dxa" w:w="2551"/>
            <w:shd w:fill="e8edf8" w:val="clear" w:color="auto"/>
          </w:tcPr>
          <w:p>
            <w:pPr>
              <w:spacing w:before="0" w:after="0"/>
              <w:jc w:val="left"/>
            </w:pPr>
            <w:r>
              <w:rPr>
                <w:rFonts w:ascii="Arial" w:hAnsi="Arial"/>
                <w:b/>
                <w:sz w:val="18"/>
              </w:rPr>
              <w:t>Company / Borrower</w:t>
            </w:r>
          </w:p>
        </w:tc>
        <w:tc>
          <w:tcPr>
            <w:tcW w:type="dxa" w:w="5102"/>
          </w:tcPr>
          <w:p>
            <w:pPr>
              <w:spacing w:before="0" w:after="0"/>
              <w:jc w:val="left"/>
            </w:pPr>
            <w:r>
              <w:rPr>
                <w:rFonts w:ascii="Arial" w:hAnsi="Arial"/>
                <w:b w:val="0"/>
                <w:sz w:val="18"/>
              </w:rPr>
              <w:t>Lakmé Cosmetics</w:t>
            </w:r>
          </w:p>
        </w:tc>
      </w:tr>
      <w:tr>
        <w:tc>
          <w:tcPr>
            <w:tcW w:type="dxa" w:w="2551"/>
            <w:shd w:fill="e8edf8" w:val="clear" w:color="auto"/>
          </w:tcPr>
          <w:p>
            <w:pPr>
              <w:spacing w:before="0" w:after="0"/>
              <w:jc w:val="left"/>
            </w:pPr>
            <w:r>
              <w:rPr>
                <w:rFonts w:ascii="Arial" w:hAnsi="Arial"/>
                <w:b/>
                <w:sz w:val="18"/>
              </w:rPr>
              <w:t>GSTIN</w:t>
            </w:r>
          </w:p>
        </w:tc>
        <w:tc>
          <w:tcPr>
            <w:tcW w:type="dxa" w:w="5102"/>
          </w:tcPr>
          <w:p>
            <w:pPr>
              <w:spacing w:before="0" w:after="0"/>
              <w:jc w:val="left"/>
            </w:pPr>
            <w:r>
              <w:rPr>
                <w:rFonts w:ascii="Arial" w:hAnsi="Arial"/>
                <w:b w:val="0"/>
                <w:sz w:val="18"/>
              </w:rPr>
              <w:t>27AABCL9876R1ZX</w:t>
            </w:r>
          </w:p>
        </w:tc>
      </w:tr>
      <w:tr>
        <w:tc>
          <w:tcPr>
            <w:tcW w:type="dxa" w:w="2551"/>
            <w:shd w:fill="e8edf8" w:val="clear" w:color="auto"/>
          </w:tcPr>
          <w:p>
            <w:pPr>
              <w:spacing w:before="0" w:after="0"/>
              <w:jc w:val="left"/>
            </w:pPr>
            <w:r>
              <w:rPr>
                <w:rFonts w:ascii="Arial" w:hAnsi="Arial"/>
                <w:b/>
                <w:sz w:val="18"/>
              </w:rPr>
              <w:t>Reference No.</w:t>
            </w:r>
          </w:p>
        </w:tc>
        <w:tc>
          <w:tcPr>
            <w:tcW w:type="dxa" w:w="5102"/>
          </w:tcPr>
          <w:p>
            <w:pPr>
              <w:spacing w:before="0" w:after="0"/>
              <w:jc w:val="left"/>
            </w:pPr>
            <w:r>
              <w:rPr>
                <w:rFonts w:ascii="Arial" w:hAnsi="Arial"/>
                <w:b w:val="0"/>
                <w:sz w:val="18"/>
              </w:rPr>
              <w:t>CAM/2026/LAKM/03091630</w:t>
            </w:r>
          </w:p>
        </w:tc>
      </w:tr>
      <w:tr>
        <w:tc>
          <w:tcPr>
            <w:tcW w:type="dxa" w:w="2551"/>
            <w:shd w:fill="e8edf8" w:val="clear" w:color="auto"/>
          </w:tcPr>
          <w:p>
            <w:pPr>
              <w:spacing w:before="0" w:after="0"/>
              <w:jc w:val="left"/>
            </w:pPr>
            <w:r>
              <w:rPr>
                <w:rFonts w:ascii="Arial" w:hAnsi="Arial"/>
                <w:b/>
                <w:sz w:val="18"/>
              </w:rPr>
              <w:t>AI Decision</w:t>
            </w:r>
          </w:p>
        </w:tc>
        <w:tc>
          <w:tcPr>
            <w:tcW w:type="dxa" w:w="5102"/>
          </w:tcPr>
          <w:p>
            <w:pPr>
              <w:spacing w:before="0" w:after="0"/>
              <w:jc w:val="left"/>
            </w:pPr>
            <w:r>
              <w:rPr>
                <w:rFonts w:ascii="Arial" w:hAnsi="Arial"/>
                <w:b w:val="0"/>
                <w:sz w:val="18"/>
              </w:rPr>
              <w:t>CONDITIONAL APPROVAL</w:t>
            </w:r>
          </w:p>
        </w:tc>
      </w:tr>
      <w:tr>
        <w:tc>
          <w:tcPr>
            <w:tcW w:type="dxa" w:w="2551"/>
            <w:shd w:fill="e8edf8" w:val="clear" w:color="auto"/>
          </w:tcPr>
          <w:p>
            <w:pPr>
              <w:spacing w:before="0" w:after="0"/>
              <w:jc w:val="left"/>
            </w:pPr>
            <w:r>
              <w:rPr>
                <w:rFonts w:ascii="Arial" w:hAnsi="Arial"/>
                <w:b/>
                <w:sz w:val="18"/>
              </w:rPr>
              <w:t>Risk Category</w:t>
            </w:r>
          </w:p>
        </w:tc>
        <w:tc>
          <w:tcPr>
            <w:tcW w:type="dxa" w:w="5102"/>
          </w:tcPr>
          <w:p>
            <w:pPr>
              <w:spacing w:before="0" w:after="0"/>
              <w:jc w:val="left"/>
            </w:pPr>
            <w:r>
              <w:rPr>
                <w:rFonts w:ascii="Arial" w:hAnsi="Arial"/>
                <w:b w:val="0"/>
                <w:sz w:val="18"/>
              </w:rPr>
              <w:t>MEDIUM</w:t>
            </w:r>
          </w:p>
        </w:tc>
      </w:tr>
      <w:tr>
        <w:tc>
          <w:tcPr>
            <w:tcW w:type="dxa" w:w="2551"/>
            <w:shd w:fill="e8edf8" w:val="clear" w:color="auto"/>
          </w:tcPr>
          <w:p>
            <w:pPr>
              <w:spacing w:before="0" w:after="0"/>
              <w:jc w:val="left"/>
            </w:pPr>
            <w:r>
              <w:rPr>
                <w:rFonts w:ascii="Arial" w:hAnsi="Arial"/>
                <w:b/>
                <w:sz w:val="18"/>
              </w:rPr>
              <w:t>Risk Score</w:t>
            </w:r>
          </w:p>
        </w:tc>
        <w:tc>
          <w:tcPr>
            <w:tcW w:type="dxa" w:w="5102"/>
          </w:tcPr>
          <w:p>
            <w:pPr>
              <w:spacing w:before="0" w:after="0"/>
              <w:jc w:val="left"/>
            </w:pPr>
            <w:r>
              <w:rPr>
                <w:rFonts w:ascii="Arial" w:hAnsi="Arial"/>
                <w:b w:val="0"/>
                <w:sz w:val="18"/>
              </w:rPr>
              <w:t>0.350 / 1.000</w:t>
            </w:r>
          </w:p>
        </w:tc>
      </w:tr>
      <w:tr>
        <w:tc>
          <w:tcPr>
            <w:tcW w:type="dxa" w:w="2551"/>
            <w:shd w:fill="e8edf8" w:val="clear" w:color="auto"/>
          </w:tcPr>
          <w:p>
            <w:pPr>
              <w:spacing w:before="0" w:after="0"/>
              <w:jc w:val="left"/>
            </w:pPr>
            <w:r>
              <w:rPr>
                <w:rFonts w:ascii="Arial" w:hAnsi="Arial"/>
                <w:b/>
                <w:sz w:val="18"/>
              </w:rPr>
              <w:t>Loan Limit</w:t>
            </w:r>
          </w:p>
        </w:tc>
        <w:tc>
          <w:tcPr>
            <w:tcW w:type="dxa" w:w="5102"/>
          </w:tcPr>
          <w:p>
            <w:pPr>
              <w:spacing w:before="0" w:after="0"/>
              <w:jc w:val="left"/>
            </w:pPr>
            <w:r>
              <w:rPr>
                <w:rFonts w:ascii="Arial" w:hAnsi="Arial"/>
                <w:b w:val="0"/>
                <w:sz w:val="18"/>
              </w:rPr>
              <w:t>Rs. 206,250,000 (2062.50 Lakhs)</w:t>
            </w:r>
          </w:p>
        </w:tc>
      </w:tr>
      <w:tr>
        <w:tc>
          <w:tcPr>
            <w:tcW w:type="dxa" w:w="2551"/>
            <w:shd w:fill="e8edf8" w:val="clear" w:color="auto"/>
          </w:tcPr>
          <w:p>
            <w:pPr>
              <w:spacing w:before="0" w:after="0"/>
              <w:jc w:val="left"/>
            </w:pPr>
            <w:r>
              <w:rPr>
                <w:rFonts w:ascii="Arial" w:hAnsi="Arial"/>
                <w:b/>
                <w:sz w:val="18"/>
              </w:rPr>
              <w:t>Interest Rate</w:t>
            </w:r>
          </w:p>
        </w:tc>
        <w:tc>
          <w:tcPr>
            <w:tcW w:type="dxa" w:w="5102"/>
          </w:tcPr>
          <w:p>
            <w:pPr>
              <w:spacing w:before="0" w:after="0"/>
              <w:jc w:val="left"/>
            </w:pPr>
            <w:r>
              <w:rPr>
                <w:rFonts w:ascii="Arial" w:hAnsi="Arial"/>
                <w:b w:val="0"/>
                <w:sz w:val="18"/>
              </w:rPr>
              <w:t>11.30% p.a.</w:t>
            </w:r>
          </w:p>
        </w:tc>
      </w:tr>
    </w:tbl>
    <w:p/>
    <w:p>
      <w:pPr>
        <w:spacing w:before="240" w:after="100"/>
        <w:pBdr>
          <w:left w:val="single" w:sz="18" w:space="6" w:color="0d1f5c"/>
        </w:pBdr>
      </w:pPr>
      <w:r>
        <w:rPr>
          <w:rFonts w:ascii="Arial" w:hAnsi="Arial"/>
          <w:b/>
          <w:color w:val="1A3080"/>
          <w:sz w:val="22"/>
        </w:rPr>
        <w:t>SECTION 2 — FINANCIAL ANALYSIS</w:t>
      </w:r>
    </w:p>
    <w:tbl>
      <w:tblPr>
        <w:tblStyle w:val="TableGrid"/>
        <w:tblW w:type="auto" w:w="0"/>
        <w:tblLook w:firstColumn="1" w:firstRow="1" w:lastColumn="0" w:lastRow="0" w:noHBand="0" w:noVBand="1" w:val="04A0"/>
      </w:tblPr>
      <w:tblGrid>
        <w:gridCol w:w="4703"/>
        <w:gridCol w:w="4703"/>
      </w:tblGrid>
      <w:tr>
        <w:tc>
          <w:tcPr>
            <w:tcW w:type="dxa" w:w="2551"/>
            <w:shd w:fill="e8edf8" w:val="clear" w:color="auto"/>
          </w:tcPr>
          <w:p>
            <w:pPr>
              <w:spacing w:before="0" w:after="0"/>
              <w:jc w:val="left"/>
            </w:pPr>
            <w:r>
              <w:rPr>
                <w:rFonts w:ascii="Arial" w:hAnsi="Arial"/>
                <w:b/>
                <w:sz w:val="18"/>
              </w:rPr>
              <w:t>Debt / Equity Ratio</w:t>
            </w:r>
          </w:p>
        </w:tc>
        <w:tc>
          <w:tcPr>
            <w:tcW w:type="dxa" w:w="5102"/>
          </w:tcPr>
          <w:p>
            <w:pPr>
              <w:spacing w:before="0" w:after="0"/>
              <w:jc w:val="left"/>
            </w:pPr>
            <w:r>
              <w:rPr>
                <w:rFonts w:ascii="Arial" w:hAnsi="Arial"/>
                <w:b w:val="0"/>
                <w:sz w:val="18"/>
              </w:rPr>
              <w:t>0.54x</w:t>
            </w:r>
          </w:p>
        </w:tc>
      </w:tr>
      <w:tr>
        <w:tc>
          <w:tcPr>
            <w:tcW w:type="dxa" w:w="2551"/>
            <w:shd w:fill="e8edf8" w:val="clear" w:color="auto"/>
          </w:tcPr>
          <w:p>
            <w:pPr>
              <w:spacing w:before="0" w:after="0"/>
              <w:jc w:val="left"/>
            </w:pPr>
            <w:r>
              <w:rPr>
                <w:rFonts w:ascii="Arial" w:hAnsi="Arial"/>
                <w:b/>
                <w:sz w:val="18"/>
              </w:rPr>
              <w:t>Net Worth</w:t>
            </w:r>
          </w:p>
        </w:tc>
        <w:tc>
          <w:tcPr>
            <w:tcW w:type="dxa" w:w="5102"/>
          </w:tcPr>
          <w:p>
            <w:pPr>
              <w:spacing w:before="0" w:after="0"/>
              <w:jc w:val="left"/>
            </w:pPr>
            <w:r>
              <w:rPr>
                <w:rFonts w:ascii="Arial" w:hAnsi="Arial"/>
                <w:b w:val="0"/>
                <w:sz w:val="18"/>
              </w:rPr>
              <w:t>Rs. 745,000,000</w:t>
            </w:r>
          </w:p>
        </w:tc>
      </w:tr>
      <w:tr>
        <w:tc>
          <w:tcPr>
            <w:tcW w:type="dxa" w:w="2551"/>
            <w:shd w:fill="e8edf8" w:val="clear" w:color="auto"/>
          </w:tcPr>
          <w:p>
            <w:pPr>
              <w:spacing w:before="0" w:after="0"/>
              <w:jc w:val="left"/>
            </w:pPr>
            <w:r>
              <w:rPr>
                <w:rFonts w:ascii="Arial" w:hAnsi="Arial"/>
                <w:b/>
                <w:sz w:val="18"/>
              </w:rPr>
              <w:t>DSCR</w:t>
            </w:r>
          </w:p>
        </w:tc>
        <w:tc>
          <w:tcPr>
            <w:tcW w:type="dxa" w:w="5102"/>
          </w:tcPr>
          <w:p>
            <w:pPr>
              <w:spacing w:before="0" w:after="0"/>
              <w:jc w:val="left"/>
            </w:pPr>
            <w:r>
              <w:rPr>
                <w:rFonts w:ascii="Arial" w:hAnsi="Arial"/>
                <w:b w:val="0"/>
                <w:sz w:val="18"/>
              </w:rPr>
              <w:t>5.89x</w:t>
            </w:r>
          </w:p>
        </w:tc>
      </w:tr>
      <w:tr>
        <w:tc>
          <w:tcPr>
            <w:tcW w:type="dxa" w:w="2551"/>
            <w:shd w:fill="e8edf8" w:val="clear" w:color="auto"/>
          </w:tcPr>
          <w:p>
            <w:pPr>
              <w:spacing w:before="0" w:after="0"/>
              <w:jc w:val="left"/>
            </w:pPr>
            <w:r>
              <w:rPr>
                <w:rFonts w:ascii="Arial" w:hAnsi="Arial"/>
                <w:b/>
                <w:sz w:val="18"/>
              </w:rPr>
              <w:t>Net Profit Margin</w:t>
            </w:r>
          </w:p>
        </w:tc>
        <w:tc>
          <w:tcPr>
            <w:tcW w:type="dxa" w:w="5102"/>
          </w:tcPr>
          <w:p>
            <w:pPr>
              <w:spacing w:before="0" w:after="0"/>
              <w:jc w:val="left"/>
            </w:pPr>
            <w:r>
              <w:rPr>
                <w:rFonts w:ascii="Arial" w:hAnsi="Arial"/>
                <w:b w:val="0"/>
                <w:sz w:val="18"/>
              </w:rPr>
              <w:t>12.4%</w:t>
            </w:r>
          </w:p>
        </w:tc>
      </w:tr>
      <w:tr>
        <w:tc>
          <w:tcPr>
            <w:tcW w:type="dxa" w:w="2551"/>
            <w:shd w:fill="e8edf8" w:val="clear" w:color="auto"/>
          </w:tcPr>
          <w:p>
            <w:pPr>
              <w:spacing w:before="0" w:after="0"/>
              <w:jc w:val="left"/>
            </w:pPr>
            <w:r>
              <w:rPr>
                <w:rFonts w:ascii="Arial" w:hAnsi="Arial"/>
                <w:b/>
                <w:sz w:val="18"/>
              </w:rPr>
              <w:t>Avg Monthly Balance</w:t>
            </w:r>
          </w:p>
        </w:tc>
        <w:tc>
          <w:tcPr>
            <w:tcW w:type="dxa" w:w="5102"/>
          </w:tcPr>
          <w:p>
            <w:pPr>
              <w:spacing w:before="0" w:after="0"/>
              <w:jc w:val="left"/>
            </w:pPr>
            <w:r>
              <w:rPr>
                <w:rFonts w:ascii="Arial" w:hAnsi="Arial"/>
                <w:b w:val="0"/>
                <w:sz w:val="18"/>
              </w:rPr>
              <w:t>Rs. 11,850,000</w:t>
            </w:r>
          </w:p>
        </w:tc>
      </w:tr>
      <w:tr>
        <w:tc>
          <w:tcPr>
            <w:tcW w:type="dxa" w:w="2551"/>
            <w:shd w:fill="e8edf8" w:val="clear" w:color="auto"/>
          </w:tcPr>
          <w:p>
            <w:pPr>
              <w:spacing w:before="0" w:after="0"/>
              <w:jc w:val="left"/>
            </w:pPr>
            <w:r>
              <w:rPr>
                <w:rFonts w:ascii="Arial" w:hAnsi="Arial"/>
                <w:b/>
                <w:sz w:val="18"/>
              </w:rPr>
              <w:t>Monthly Credit Avg</w:t>
            </w:r>
          </w:p>
        </w:tc>
        <w:tc>
          <w:tcPr>
            <w:tcW w:type="dxa" w:w="5102"/>
          </w:tcPr>
          <w:p>
            <w:pPr>
              <w:spacing w:before="0" w:after="0"/>
              <w:jc w:val="left"/>
            </w:pPr>
            <w:r>
              <w:rPr>
                <w:rFonts w:ascii="Arial" w:hAnsi="Arial"/>
                <w:b w:val="0"/>
                <w:sz w:val="18"/>
              </w:rPr>
              <w:t>Rs. 286,800,000</w:t>
            </w:r>
          </w:p>
        </w:tc>
      </w:tr>
      <w:tr>
        <w:tc>
          <w:tcPr>
            <w:tcW w:type="dxa" w:w="2551"/>
            <w:shd w:fill="e8edf8" w:val="clear" w:color="auto"/>
          </w:tcPr>
          <w:p>
            <w:pPr>
              <w:spacing w:before="0" w:after="0"/>
              <w:jc w:val="left"/>
            </w:pPr>
            <w:r>
              <w:rPr>
                <w:rFonts w:ascii="Arial" w:hAnsi="Arial"/>
                <w:b/>
                <w:sz w:val="18"/>
              </w:rPr>
              <w:t>Data Completeness</w:t>
            </w:r>
          </w:p>
        </w:tc>
        <w:tc>
          <w:tcPr>
            <w:tcW w:type="dxa" w:w="5102"/>
          </w:tcPr>
          <w:p>
            <w:pPr>
              <w:spacing w:before="0" w:after="0"/>
              <w:jc w:val="left"/>
            </w:pPr>
            <w:r>
              <w:rPr>
                <w:rFonts w:ascii="Arial" w:hAnsi="Arial"/>
                <w:b w:val="0"/>
                <w:sz w:val="18"/>
              </w:rPr>
              <w:t>80%</w:t>
            </w:r>
          </w:p>
        </w:tc>
      </w:tr>
      <w:tr>
        <w:tc>
          <w:tcPr>
            <w:tcW w:type="dxa" w:w="2551"/>
            <w:shd w:fill="e8edf8" w:val="clear" w:color="auto"/>
          </w:tcPr>
          <w:p>
            <w:pPr>
              <w:spacing w:before="0" w:after="0"/>
              <w:jc w:val="left"/>
            </w:pPr>
            <w:r>
              <w:rPr>
                <w:rFonts w:ascii="Arial" w:hAnsi="Arial"/>
                <w:b/>
                <w:sz w:val="18"/>
              </w:rPr>
              <w:t>Note 1</w:t>
            </w:r>
          </w:p>
        </w:tc>
        <w:tc>
          <w:tcPr>
            <w:tcW w:type="dxa" w:w="5102"/>
          </w:tcPr>
          <w:p>
            <w:pPr>
              <w:spacing w:before="0" w:after="0"/>
              <w:jc w:val="left"/>
            </w:pPr>
            <w:r>
              <w:rPr>
                <w:rFonts w:ascii="Arial" w:hAnsi="Arial"/>
                <w:b w:val="0"/>
                <w:sz w:val="18"/>
              </w:rPr>
              <w:t>Monthly credit avg estimated from total (12-month assumed).</w:t>
            </w:r>
          </w:p>
        </w:tc>
      </w:tr>
    </w:tbl>
    <w:p/>
    <w:p>
      <w:pPr>
        <w:spacing w:before="240" w:after="100"/>
        <w:pBdr>
          <w:left w:val="single" w:sz="18" w:space="6" w:color="0d1f5c"/>
        </w:pBdr>
      </w:pPr>
      <w:r>
        <w:rPr>
          <w:rFonts w:ascii="Arial" w:hAnsi="Arial"/>
          <w:b/>
          <w:color w:val="1A3080"/>
          <w:sz w:val="22"/>
        </w:rPr>
        <w:t>SECTION 3 — FIVE Cs CREDIT ANALYSIS</w:t>
      </w:r>
    </w:p>
    <w:tbl>
      <w:tblPr>
        <w:tblStyle w:val="TableGrid"/>
        <w:tblW w:type="auto" w:w="0"/>
        <w:tblLook w:firstColumn="1" w:firstRow="1" w:lastColumn="0" w:lastRow="0" w:noHBand="0" w:noVBand="1" w:val="04A0"/>
      </w:tblPr>
      <w:tblGrid>
        <w:gridCol w:w="3135"/>
        <w:gridCol w:w="3135"/>
        <w:gridCol w:w="3135"/>
      </w:tblGrid>
      <w:tr>
        <w:tc>
          <w:tcPr>
            <w:tcW w:type="dxa" w:w="3135"/>
            <w:shd w:fill="0d1f5c" w:val="clear" w:color="auto"/>
          </w:tcPr>
          <w:p>
            <w:pPr>
              <w:spacing w:before="0" w:after="0"/>
              <w:jc w:val="left"/>
            </w:pPr>
            <w:r>
              <w:rPr>
                <w:rFonts w:ascii="Arial" w:hAnsi="Arial"/>
                <w:b/>
                <w:color w:val="FFFFFF"/>
                <w:sz w:val="18"/>
              </w:rPr>
              <w:t>Parameter</w:t>
            </w:r>
          </w:p>
        </w:tc>
        <w:tc>
          <w:tcPr>
            <w:tcW w:type="dxa" w:w="3135"/>
            <w:shd w:fill="0d1f5c" w:val="clear" w:color="auto"/>
          </w:tcPr>
          <w:p>
            <w:pPr>
              <w:spacing w:before="0" w:after="0"/>
              <w:jc w:val="left"/>
            </w:pPr>
            <w:r>
              <w:rPr>
                <w:rFonts w:ascii="Arial" w:hAnsi="Arial"/>
                <w:b/>
                <w:color w:val="FFFFFF"/>
                <w:sz w:val="18"/>
              </w:rPr>
              <w:t>Score</w:t>
            </w:r>
          </w:p>
        </w:tc>
        <w:tc>
          <w:tcPr>
            <w:tcW w:type="dxa" w:w="3135"/>
            <w:shd w:fill="0d1f5c" w:val="clear" w:color="auto"/>
          </w:tcPr>
          <w:p>
            <w:pPr>
              <w:spacing w:before="0" w:after="0"/>
              <w:jc w:val="left"/>
            </w:pPr>
            <w:r>
              <w:rPr>
                <w:rFonts w:ascii="Arial" w:hAnsi="Arial"/>
                <w:b/>
                <w:color w:val="FFFFFF"/>
                <w:sz w:val="18"/>
              </w:rPr>
              <w:t>Assessment Summary</w:t>
            </w:r>
          </w:p>
        </w:tc>
      </w:tr>
      <w:tr>
        <w:tc>
          <w:tcPr>
            <w:tcW w:type="dxa" w:w="3135"/>
          </w:tcPr>
          <w:p>
            <w:pPr>
              <w:spacing w:before="0" w:after="0"/>
              <w:jc w:val="left"/>
            </w:pPr>
            <w:r>
              <w:rPr>
                <w:rFonts w:ascii="Arial" w:hAnsi="Arial"/>
                <w:b/>
                <w:sz w:val="18"/>
              </w:rPr>
              <w:t>Character</w:t>
            </w:r>
          </w:p>
        </w:tc>
        <w:tc>
          <w:tcPr>
            <w:tcW w:type="dxa" w:w="3135"/>
          </w:tcPr>
          <w:p>
            <w:pPr>
              <w:spacing w:before="0" w:after="0"/>
              <w:jc w:val="center"/>
            </w:pPr>
            <w:r>
              <w:rPr>
                <w:rFonts w:ascii="Arial" w:hAnsi="Arial"/>
                <w:b w:val="0"/>
                <w:sz w:val="18"/>
              </w:rPr>
              <w:t>6.5/10</w:t>
            </w:r>
          </w:p>
        </w:tc>
        <w:tc>
          <w:tcPr>
            <w:tcW w:type="dxa" w:w="3135"/>
          </w:tcPr>
          <w:p>
            <w:pPr>
              <w:spacing w:before="0" w:after="0"/>
              <w:jc w:val="left"/>
            </w:pPr>
            <w:r>
              <w:rPr>
                <w:rFonts w:ascii="Arial" w:hAnsi="Arial"/>
                <w:b w:val="0"/>
                <w:sz w:val="18"/>
              </w:rPr>
              <w:t>Good character with minor concerns. Monitor regularly.</w:t>
            </w:r>
          </w:p>
        </w:tc>
      </w:tr>
      <w:tr>
        <w:tc>
          <w:tcPr>
            <w:tcW w:type="dxa" w:w="3135"/>
          </w:tcPr>
          <w:p>
            <w:pPr>
              <w:spacing w:before="0" w:after="0"/>
              <w:jc w:val="left"/>
            </w:pPr>
            <w:r>
              <w:rPr>
                <w:rFonts w:ascii="Arial" w:hAnsi="Arial"/>
                <w:b/>
                <w:sz w:val="18"/>
              </w:rPr>
              <w:t>Capacity</w:t>
            </w:r>
          </w:p>
        </w:tc>
        <w:tc>
          <w:tcPr>
            <w:tcW w:type="dxa" w:w="3135"/>
          </w:tcPr>
          <w:p>
            <w:pPr>
              <w:spacing w:before="0" w:after="0"/>
              <w:jc w:val="center"/>
            </w:pPr>
            <w:r>
              <w:rPr>
                <w:rFonts w:ascii="Arial" w:hAnsi="Arial"/>
                <w:b w:val="0"/>
                <w:sz w:val="18"/>
              </w:rPr>
              <w:t>10.0/10</w:t>
            </w:r>
          </w:p>
        </w:tc>
        <w:tc>
          <w:tcPr>
            <w:tcW w:type="dxa" w:w="3135"/>
          </w:tcPr>
          <w:p>
            <w:pPr>
              <w:spacing w:before="0" w:after="0"/>
              <w:jc w:val="left"/>
            </w:pPr>
            <w:r>
              <w:rPr>
                <w:rFonts w:ascii="Arial" w:hAnsi="Arial"/>
                <w:b w:val="0"/>
                <w:sz w:val="18"/>
              </w:rPr>
              <w:t>Excellent repayment capacity. Strong and consistent cash flows.</w:t>
            </w:r>
          </w:p>
        </w:tc>
      </w:tr>
      <w:tr>
        <w:tc>
          <w:tcPr>
            <w:tcW w:type="dxa" w:w="3135"/>
          </w:tcPr>
          <w:p>
            <w:pPr>
              <w:spacing w:before="0" w:after="0"/>
              <w:jc w:val="left"/>
            </w:pPr>
            <w:r>
              <w:rPr>
                <w:rFonts w:ascii="Arial" w:hAnsi="Arial"/>
                <w:b/>
                <w:sz w:val="18"/>
              </w:rPr>
              <w:t>Capital</w:t>
            </w:r>
          </w:p>
        </w:tc>
        <w:tc>
          <w:tcPr>
            <w:tcW w:type="dxa" w:w="3135"/>
          </w:tcPr>
          <w:p>
            <w:pPr>
              <w:spacing w:before="0" w:after="0"/>
              <w:jc w:val="center"/>
            </w:pPr>
            <w:r>
              <w:rPr>
                <w:rFonts w:ascii="Arial" w:hAnsi="Arial"/>
                <w:b w:val="0"/>
                <w:sz w:val="18"/>
              </w:rPr>
              <w:t>10.0/10</w:t>
            </w:r>
          </w:p>
        </w:tc>
        <w:tc>
          <w:tcPr>
            <w:tcW w:type="dxa" w:w="3135"/>
          </w:tcPr>
          <w:p>
            <w:pPr>
              <w:spacing w:before="0" w:after="0"/>
              <w:jc w:val="left"/>
            </w:pPr>
            <w:r>
              <w:rPr>
                <w:rFonts w:ascii="Arial" w:hAnsi="Arial"/>
                <w:b w:val="0"/>
                <w:sz w:val="18"/>
              </w:rPr>
              <w:t>Strong capital base. Well-capitalized with low leverage.</w:t>
            </w:r>
          </w:p>
        </w:tc>
      </w:tr>
      <w:tr>
        <w:tc>
          <w:tcPr>
            <w:tcW w:type="dxa" w:w="3135"/>
          </w:tcPr>
          <w:p>
            <w:pPr>
              <w:spacing w:before="0" w:after="0"/>
              <w:jc w:val="left"/>
            </w:pPr>
            <w:r>
              <w:rPr>
                <w:rFonts w:ascii="Arial" w:hAnsi="Arial"/>
                <w:b/>
                <w:sz w:val="18"/>
              </w:rPr>
              <w:t>Collateral</w:t>
            </w:r>
          </w:p>
        </w:tc>
        <w:tc>
          <w:tcPr>
            <w:tcW w:type="dxa" w:w="3135"/>
          </w:tcPr>
          <w:p>
            <w:pPr>
              <w:spacing w:before="0" w:after="0"/>
              <w:jc w:val="center"/>
            </w:pPr>
            <w:r>
              <w:rPr>
                <w:rFonts w:ascii="Arial" w:hAnsi="Arial"/>
                <w:b w:val="0"/>
                <w:sz w:val="18"/>
              </w:rPr>
              <w:t>6.0/10</w:t>
            </w:r>
          </w:p>
        </w:tc>
        <w:tc>
          <w:tcPr>
            <w:tcW w:type="dxa" w:w="3135"/>
          </w:tcPr>
          <w:p>
            <w:pPr>
              <w:spacing w:before="0" w:after="0"/>
              <w:jc w:val="left"/>
            </w:pPr>
            <w:r>
              <w:rPr>
                <w:rFonts w:ascii="Arial" w:hAnsi="Arial"/>
                <w:b w:val="0"/>
                <w:sz w:val="18"/>
              </w:rPr>
              <w:t>Adequate collateral. Loan well-secured.</w:t>
            </w:r>
          </w:p>
        </w:tc>
      </w:tr>
      <w:tr>
        <w:tc>
          <w:tcPr>
            <w:tcW w:type="dxa" w:w="3135"/>
          </w:tcPr>
          <w:p>
            <w:pPr>
              <w:spacing w:before="0" w:after="0"/>
              <w:jc w:val="left"/>
            </w:pPr>
            <w:r>
              <w:rPr>
                <w:rFonts w:ascii="Arial" w:hAnsi="Arial"/>
                <w:b/>
                <w:sz w:val="18"/>
              </w:rPr>
              <w:t>Conditions</w:t>
            </w:r>
          </w:p>
        </w:tc>
        <w:tc>
          <w:tcPr>
            <w:tcW w:type="dxa" w:w="3135"/>
          </w:tcPr>
          <w:p>
            <w:pPr>
              <w:spacing w:before="0" w:after="0"/>
              <w:jc w:val="center"/>
            </w:pPr>
            <w:r>
              <w:rPr>
                <w:rFonts w:ascii="Arial" w:hAnsi="Arial"/>
                <w:b w:val="0"/>
                <w:sz w:val="18"/>
              </w:rPr>
              <w:t>7.0/10</w:t>
            </w:r>
          </w:p>
        </w:tc>
        <w:tc>
          <w:tcPr>
            <w:tcW w:type="dxa" w:w="3135"/>
          </w:tcPr>
          <w:p>
            <w:pPr>
              <w:spacing w:before="0" w:after="0"/>
              <w:jc w:val="left"/>
            </w:pPr>
            <w:r>
              <w:rPr>
                <w:rFonts w:ascii="Arial" w:hAnsi="Arial"/>
                <w:b w:val="0"/>
                <w:sz w:val="18"/>
              </w:rPr>
              <w:t>Neutral conditions. Standard sector risk.</w:t>
            </w:r>
          </w:p>
        </w:tc>
      </w:tr>
      <w:tr>
        <w:tc>
          <w:tcPr>
            <w:tcW w:type="dxa" w:w="3135"/>
            <w:shd w:fill="e8edf8" w:val="clear" w:color="auto"/>
          </w:tcPr>
          <w:p>
            <w:pPr>
              <w:spacing w:before="0" w:after="0"/>
              <w:jc w:val="left"/>
            </w:pPr>
            <w:r>
              <w:rPr>
                <w:rFonts w:ascii="Arial" w:hAnsi="Arial"/>
                <w:b/>
                <w:sz w:val="18"/>
              </w:rPr>
              <w:t>OVERALL</w:t>
            </w:r>
          </w:p>
        </w:tc>
        <w:tc>
          <w:tcPr>
            <w:tcW w:type="dxa" w:w="3135"/>
            <w:shd w:fill="e8edf8" w:val="clear" w:color="auto"/>
          </w:tcPr>
          <w:p>
            <w:pPr>
              <w:spacing w:before="0" w:after="0"/>
              <w:jc w:val="center"/>
            </w:pPr>
            <w:r>
              <w:rPr>
                <w:rFonts w:ascii="Arial" w:hAnsi="Arial"/>
                <w:b/>
                <w:sz w:val="18"/>
              </w:rPr>
              <w:t>8.22/10</w:t>
            </w:r>
          </w:p>
        </w:tc>
        <w:tc>
          <w:tcPr>
            <w:tcW w:type="dxa" w:w="3135"/>
            <w:shd w:fill="e8edf8" w:val="clear" w:color="auto"/>
          </w:tcPr>
          <w:p>
            <w:pPr>
              <w:spacing w:before="0" w:after="0"/>
              <w:jc w:val="left"/>
            </w:pPr>
            <w:r>
              <w:rPr>
                <w:rFonts w:ascii="Arial" w:hAnsi="Arial"/>
                <w:b/>
                <w:sz w:val="18"/>
              </w:rPr>
              <w:t>Weighted average</w:t>
            </w:r>
          </w:p>
        </w:tc>
      </w:tr>
    </w:tbl>
    <w:p/>
    <w:p>
      <w:pPr>
        <w:spacing w:before="240" w:after="100"/>
        <w:pBdr>
          <w:left w:val="single" w:sz="18" w:space="6" w:color="0d1f5c"/>
        </w:pBdr>
      </w:pPr>
      <w:r>
        <w:rPr>
          <w:rFonts w:ascii="Arial" w:hAnsi="Arial"/>
          <w:b/>
          <w:color w:val="1A3080"/>
          <w:sz w:val="22"/>
        </w:rPr>
        <w:t>SECTION 4 — AI RISK DRIVERS (SHAP)</w:t>
      </w:r>
    </w:p>
    <w:tbl>
      <w:tblPr>
        <w:tblStyle w:val="TableGrid"/>
        <w:tblW w:type="auto" w:w="0"/>
        <w:tblLook w:firstColumn="1" w:firstRow="1" w:lastColumn="0" w:lastRow="0" w:noHBand="0" w:noVBand="1" w:val="04A0"/>
      </w:tblPr>
      <w:tblGrid>
        <w:gridCol w:w="3135"/>
        <w:gridCol w:w="3135"/>
        <w:gridCol w:w="3135"/>
      </w:tblGrid>
      <w:tr>
        <w:tc>
          <w:tcPr>
            <w:tcW w:type="dxa" w:w="3135"/>
            <w:shd w:fill="0d1f5c" w:val="clear" w:color="auto"/>
          </w:tcPr>
          <w:p>
            <w:pPr>
              <w:spacing w:before="0" w:after="0"/>
              <w:jc w:val="left"/>
            </w:pPr>
            <w:r>
              <w:rPr>
                <w:rFonts w:ascii="Arial" w:hAnsi="Arial"/>
                <w:b/>
                <w:color w:val="FFFFFF"/>
                <w:sz w:val="18"/>
              </w:rPr>
              <w:t>Factor</w:t>
            </w:r>
          </w:p>
        </w:tc>
        <w:tc>
          <w:tcPr>
            <w:tcW w:type="dxa" w:w="3135"/>
            <w:shd w:fill="0d1f5c" w:val="clear" w:color="auto"/>
          </w:tcPr>
          <w:p>
            <w:pPr>
              <w:spacing w:before="0" w:after="0"/>
              <w:jc w:val="left"/>
            </w:pPr>
            <w:r>
              <w:rPr>
                <w:rFonts w:ascii="Arial" w:hAnsi="Arial"/>
                <w:b/>
                <w:color w:val="FFFFFF"/>
                <w:sz w:val="18"/>
              </w:rPr>
              <w:t>SHAP Impact</w:t>
            </w:r>
          </w:p>
        </w:tc>
        <w:tc>
          <w:tcPr>
            <w:tcW w:type="dxa" w:w="3135"/>
            <w:shd w:fill="0d1f5c" w:val="clear" w:color="auto"/>
          </w:tcPr>
          <w:p>
            <w:pPr>
              <w:spacing w:before="0" w:after="0"/>
              <w:jc w:val="left"/>
            </w:pPr>
            <w:r>
              <w:rPr>
                <w:rFonts w:ascii="Arial" w:hAnsi="Arial"/>
                <w:b/>
                <w:color w:val="FFFFFF"/>
                <w:sz w:val="18"/>
              </w:rPr>
              <w:t>Direction</w:t>
            </w:r>
          </w:p>
        </w:tc>
      </w:tr>
      <w:tr>
        <w:tc>
          <w:tcPr>
            <w:tcW w:type="dxa" w:w="3135"/>
          </w:tcPr>
          <w:p>
            <w:pPr>
              <w:spacing w:before="0" w:after="0"/>
              <w:jc w:val="left"/>
            </w:pPr>
            <w:r>
              <w:rPr>
                <w:rFonts w:ascii="Arial" w:hAnsi="Arial"/>
                <w:b w:val="0"/>
                <w:sz w:val="18"/>
              </w:rPr>
              <w:t>EMI Bounce Count</w:t>
            </w:r>
          </w:p>
        </w:tc>
        <w:tc>
          <w:tcPr>
            <w:tcW w:type="dxa" w:w="3135"/>
          </w:tcPr>
          <w:p>
            <w:pPr>
              <w:spacing w:before="0" w:after="0"/>
              <w:jc w:val="center"/>
            </w:pPr>
            <w:r>
              <w:rPr>
                <w:rFonts w:ascii="Arial" w:hAnsi="Arial"/>
                <w:b w:val="0"/>
                <w:sz w:val="18"/>
              </w:rPr>
              <w:t>1.6700</w:t>
            </w:r>
          </w:p>
        </w:tc>
        <w:tc>
          <w:tcPr>
            <w:tcW w:type="dxa" w:w="3135"/>
          </w:tcPr>
          <w:p>
            <w:pPr>
              <w:spacing w:before="0" w:after="0"/>
              <w:jc w:val="left"/>
            </w:pPr>
            <w:r>
              <w:rPr>
                <w:rFonts w:ascii="Arial" w:hAnsi="Arial"/>
                <w:b w:val="0"/>
                <w:sz w:val="18"/>
              </w:rPr>
              <w:t>decreases risk</w:t>
            </w:r>
          </w:p>
        </w:tc>
      </w:tr>
      <w:tr>
        <w:tc>
          <w:tcPr>
            <w:tcW w:type="dxa" w:w="3135"/>
          </w:tcPr>
          <w:p>
            <w:pPr>
              <w:spacing w:before="0" w:after="0"/>
              <w:jc w:val="left"/>
            </w:pPr>
            <w:r>
              <w:rPr>
                <w:rFonts w:ascii="Arial" w:hAnsi="Arial"/>
                <w:b w:val="0"/>
                <w:sz w:val="18"/>
              </w:rPr>
              <w:t>Active Litigation</w:t>
            </w:r>
          </w:p>
        </w:tc>
        <w:tc>
          <w:tcPr>
            <w:tcW w:type="dxa" w:w="3135"/>
          </w:tcPr>
          <w:p>
            <w:pPr>
              <w:spacing w:before="0" w:after="0"/>
              <w:jc w:val="center"/>
            </w:pPr>
            <w:r>
              <w:rPr>
                <w:rFonts w:ascii="Arial" w:hAnsi="Arial"/>
                <w:b w:val="0"/>
                <w:sz w:val="18"/>
              </w:rPr>
              <w:t>1.6187</w:t>
            </w:r>
          </w:p>
        </w:tc>
        <w:tc>
          <w:tcPr>
            <w:tcW w:type="dxa" w:w="3135"/>
          </w:tcPr>
          <w:p>
            <w:pPr>
              <w:spacing w:before="0" w:after="0"/>
              <w:jc w:val="left"/>
            </w:pPr>
            <w:r>
              <w:rPr>
                <w:rFonts w:ascii="Arial" w:hAnsi="Arial"/>
                <w:b w:val="0"/>
                <w:sz w:val="18"/>
              </w:rPr>
              <w:t>decreases risk</w:t>
            </w:r>
          </w:p>
        </w:tc>
      </w:tr>
      <w:tr>
        <w:tc>
          <w:tcPr>
            <w:tcW w:type="dxa" w:w="3135"/>
          </w:tcPr>
          <w:p>
            <w:pPr>
              <w:spacing w:before="0" w:after="0"/>
              <w:jc w:val="left"/>
            </w:pPr>
            <w:r>
              <w:rPr>
                <w:rFonts w:ascii="Arial" w:hAnsi="Arial"/>
                <w:b w:val="0"/>
                <w:sz w:val="18"/>
              </w:rPr>
              <w:t>GST Filing Regularity</w:t>
            </w:r>
          </w:p>
        </w:tc>
        <w:tc>
          <w:tcPr>
            <w:tcW w:type="dxa" w:w="3135"/>
          </w:tcPr>
          <w:p>
            <w:pPr>
              <w:spacing w:before="0" w:after="0"/>
              <w:jc w:val="center"/>
            </w:pPr>
            <w:r>
              <w:rPr>
                <w:rFonts w:ascii="Arial" w:hAnsi="Arial"/>
                <w:b w:val="0"/>
                <w:sz w:val="18"/>
              </w:rPr>
              <w:t>1.3664</w:t>
            </w:r>
          </w:p>
        </w:tc>
        <w:tc>
          <w:tcPr>
            <w:tcW w:type="dxa" w:w="3135"/>
          </w:tcPr>
          <w:p>
            <w:pPr>
              <w:spacing w:before="0" w:after="0"/>
              <w:jc w:val="left"/>
            </w:pPr>
            <w:r>
              <w:rPr>
                <w:rFonts w:ascii="Arial" w:hAnsi="Arial"/>
                <w:b w:val="0"/>
                <w:sz w:val="18"/>
              </w:rPr>
              <w:t>increases risk</w:t>
            </w:r>
          </w:p>
        </w:tc>
      </w:tr>
      <w:tr>
        <w:tc>
          <w:tcPr>
            <w:tcW w:type="dxa" w:w="3135"/>
          </w:tcPr>
          <w:p>
            <w:pPr>
              <w:spacing w:before="0" w:after="0"/>
              <w:jc w:val="left"/>
            </w:pPr>
            <w:r>
              <w:rPr>
                <w:rFonts w:ascii="Arial" w:hAnsi="Arial"/>
                <w:b w:val="0"/>
                <w:sz w:val="18"/>
              </w:rPr>
              <w:t>Debt / Equity Ratio</w:t>
            </w:r>
          </w:p>
        </w:tc>
        <w:tc>
          <w:tcPr>
            <w:tcW w:type="dxa" w:w="3135"/>
          </w:tcPr>
          <w:p>
            <w:pPr>
              <w:spacing w:before="0" w:after="0"/>
              <w:jc w:val="center"/>
            </w:pPr>
            <w:r>
              <w:rPr>
                <w:rFonts w:ascii="Arial" w:hAnsi="Arial"/>
                <w:b w:val="0"/>
                <w:sz w:val="18"/>
              </w:rPr>
              <w:t>0.7637</w:t>
            </w:r>
          </w:p>
        </w:tc>
        <w:tc>
          <w:tcPr>
            <w:tcW w:type="dxa" w:w="3135"/>
          </w:tcPr>
          <w:p>
            <w:pPr>
              <w:spacing w:before="0" w:after="0"/>
              <w:jc w:val="left"/>
            </w:pPr>
            <w:r>
              <w:rPr>
                <w:rFonts w:ascii="Arial" w:hAnsi="Arial"/>
                <w:b w:val="0"/>
                <w:sz w:val="18"/>
              </w:rPr>
              <w:t>decreases risk</w:t>
            </w:r>
          </w:p>
        </w:tc>
      </w:tr>
    </w:tbl>
    <w:p/>
    <w:p>
      <w:pPr>
        <w:spacing w:before="240" w:after="100"/>
        <w:pBdr>
          <w:left w:val="single" w:sz="18" w:space="6" w:color="0d1f5c"/>
        </w:pBdr>
      </w:pPr>
      <w:r>
        <w:rPr>
          <w:rFonts w:ascii="Arial" w:hAnsi="Arial"/>
          <w:b/>
          <w:color w:val="1A3080"/>
          <w:sz w:val="22"/>
        </w:rPr>
        <w:t>SECTION 5 — EARLY WARNING SIGNALS</w:t>
      </w:r>
    </w:p>
    <w:tbl>
      <w:tblPr>
        <w:tblStyle w:val="TableGrid"/>
        <w:tblW w:type="auto" w:w="0"/>
        <w:tblLook w:firstColumn="1" w:firstRow="1" w:lastColumn="0" w:lastRow="0" w:noHBand="0" w:noVBand="1" w:val="04A0"/>
      </w:tblPr>
      <w:tblGrid>
        <w:gridCol w:w="4703"/>
        <w:gridCol w:w="4703"/>
      </w:tblGrid>
      <w:tr>
        <w:tc>
          <w:tcPr>
            <w:tcW w:type="dxa" w:w="4703"/>
            <w:shd w:fill="b85c00" w:val="clear" w:color="auto"/>
          </w:tcPr>
          <w:p>
            <w:pPr>
              <w:spacing w:before="0" w:after="0"/>
              <w:jc w:val="left"/>
            </w:pPr>
            <w:r>
              <w:rPr>
                <w:rFonts w:ascii="Arial" w:hAnsi="Arial"/>
                <w:b/>
                <w:color w:val="FFFFFF"/>
                <w:sz w:val="18"/>
              </w:rPr>
              <w:t>Signal</w:t>
            </w:r>
          </w:p>
        </w:tc>
        <w:tc>
          <w:tcPr>
            <w:tcW w:type="dxa" w:w="4703"/>
            <w:shd w:fill="b85c00" w:val="clear" w:color="auto"/>
          </w:tcPr>
          <w:p>
            <w:pPr>
              <w:spacing w:before="0" w:after="0"/>
              <w:jc w:val="left"/>
            </w:pPr>
            <w:r>
              <w:rPr>
                <w:rFonts w:ascii="Arial" w:hAnsi="Arial"/>
                <w:b/>
                <w:color w:val="FFFFFF"/>
                <w:sz w:val="18"/>
              </w:rPr>
              <w:t>Monitor Frequency</w:t>
            </w:r>
          </w:p>
        </w:tc>
      </w:tr>
      <w:tr>
        <w:tc>
          <w:tcPr>
            <w:tcW w:type="dxa" w:w="4703"/>
          </w:tcPr>
          <w:p>
            <w:pPr>
              <w:spacing w:before="0" w:after="0"/>
              <w:jc w:val="left"/>
            </w:pPr>
            <w:r>
              <w:rPr>
                <w:rFonts w:ascii="Arial" w:hAnsi="Arial"/>
                <w:b w:val="0"/>
                <w:sz w:val="18"/>
              </w:rPr>
              <w:t>Any further discrepancies in GST filings or payments</w:t>
            </w:r>
          </w:p>
        </w:tc>
        <w:tc>
          <w:tcPr>
            <w:tcW w:type="dxa" w:w="4703"/>
          </w:tcPr>
          <w:p>
            <w:pPr>
              <w:spacing w:before="0" w:after="0"/>
              <w:jc w:val="center"/>
            </w:pPr>
            <w:r>
              <w:rPr>
                <w:rFonts w:ascii="Arial" w:hAnsi="Arial"/>
                <w:b w:val="0"/>
                <w:sz w:val="18"/>
              </w:rPr>
              <w:t>Monthly</w:t>
            </w:r>
          </w:p>
        </w:tc>
      </w:tr>
      <w:tr>
        <w:tc>
          <w:tcPr>
            <w:tcW w:type="dxa" w:w="4703"/>
          </w:tcPr>
          <w:p>
            <w:pPr>
              <w:spacing w:before="0" w:after="0"/>
              <w:jc w:val="left"/>
            </w:pPr>
            <w:r>
              <w:rPr>
                <w:rFonts w:ascii="Arial" w:hAnsi="Arial"/>
                <w:b w:val="0"/>
                <w:sz w:val="18"/>
              </w:rPr>
              <w:t>Increase in EMI bounces or credit defaults</w:t>
            </w:r>
          </w:p>
        </w:tc>
        <w:tc>
          <w:tcPr>
            <w:tcW w:type="dxa" w:w="4703"/>
          </w:tcPr>
          <w:p>
            <w:pPr>
              <w:spacing w:before="0" w:after="0"/>
              <w:jc w:val="center"/>
            </w:pPr>
            <w:r>
              <w:rPr>
                <w:rFonts w:ascii="Arial" w:hAnsi="Arial"/>
                <w:b w:val="0"/>
                <w:sz w:val="18"/>
              </w:rPr>
              <w:t>Quarterly</w:t>
            </w:r>
          </w:p>
        </w:tc>
      </w:tr>
      <w:tr>
        <w:tc>
          <w:tcPr>
            <w:tcW w:type="dxa" w:w="4703"/>
          </w:tcPr>
          <w:p>
            <w:pPr>
              <w:spacing w:before="0" w:after="0"/>
              <w:jc w:val="left"/>
            </w:pPr>
            <w:r>
              <w:rPr>
                <w:rFonts w:ascii="Arial" w:hAnsi="Arial"/>
                <w:b w:val="0"/>
                <w:sz w:val="18"/>
              </w:rPr>
              <w:t>Adverse changes in the company's debt-equity ratio or interest coverage ratio</w:t>
            </w:r>
          </w:p>
        </w:tc>
        <w:tc>
          <w:tcPr>
            <w:tcW w:type="dxa" w:w="4703"/>
          </w:tcPr>
          <w:p>
            <w:pPr>
              <w:spacing w:before="0" w:after="0"/>
              <w:jc w:val="center"/>
            </w:pPr>
            <w:r>
              <w:rPr>
                <w:rFonts w:ascii="Arial" w:hAnsi="Arial"/>
                <w:b w:val="0"/>
                <w:sz w:val="18"/>
              </w:rPr>
              <w:t>Quarterly</w:t>
            </w:r>
          </w:p>
        </w:tc>
      </w:tr>
    </w:tbl>
    <w:p/>
    <w:p>
      <w:pPr>
        <w:spacing w:before="240" w:after="100"/>
        <w:pBdr>
          <w:left w:val="single" w:sz="18" w:space="6" w:color="0d1f5c"/>
        </w:pBdr>
      </w:pPr>
      <w:r>
        <w:rPr>
          <w:rFonts w:ascii="Arial" w:hAnsi="Arial"/>
          <w:b/>
          <w:color w:val="1A3080"/>
          <w:sz w:val="22"/>
        </w:rPr>
        <w:t>SECTION 6 — AI REASONING CHAIN</w:t>
      </w:r>
    </w:p>
    <w:p>
      <w:pPr>
        <w:spacing w:after="40"/>
      </w:pPr>
      <w:r>
        <w:rPr>
          <w:rFonts w:ascii="Arial" w:hAnsi="Arial"/>
          <w:b/>
          <w:sz w:val="18"/>
        </w:rPr>
        <w:t>DECISION: Conditional Approval</w:t>
      </w:r>
    </w:p>
    <w:p>
      <w:pPr>
        <w:spacing w:after="40"/>
      </w:pPr>
      <w:r>
        <w:rPr>
          <w:rFonts w:ascii="Arial" w:hAnsi="Arial"/>
          <w:b/>
          <w:sz w:val="18"/>
        </w:rPr>
        <w:t>LIMIT: Rs.2062.50 Lakhs</w:t>
      </w:r>
    </w:p>
    <w:p>
      <w:pPr>
        <w:spacing w:after="40"/>
      </w:pPr>
      <w:r>
        <w:rPr>
          <w:rFonts w:ascii="Arial" w:hAnsi="Arial"/>
          <w:b/>
          <w:sz w:val="18"/>
        </w:rPr>
        <w:t>RATE: 11.30% per annum</w:t>
      </w:r>
    </w:p>
    <w:p>
      <w:pPr>
        <w:spacing w:after="40"/>
      </w:pPr>
      <w:r>
        <w:rPr>
          <w:rFonts w:ascii="Arial" w:hAnsi="Arial"/>
          <w:b/>
          <w:sz w:val="18"/>
        </w:rPr>
        <w:t>REASONING CHAIN:</w:t>
      </w:r>
    </w:p>
    <w:p>
      <w:pPr>
        <w:spacing w:after="40"/>
      </w:pPr>
      <w:r>
        <w:rPr>
          <w:rFonts w:ascii="Arial" w:hAnsi="Arial"/>
          <w:b w:val="0"/>
          <w:sz w:val="18"/>
        </w:rPr>
        <w:t>1. GST Analysis      -&gt; Significant ITC discrepancy detected with a 59.42% variance between 2A and 3B returns -&gt; increases risk</w:t>
      </w:r>
    </w:p>
    <w:p>
      <w:pPr>
        <w:spacing w:after="40"/>
      </w:pPr>
      <w:r>
        <w:rPr>
          <w:rFonts w:ascii="Arial" w:hAnsi="Arial"/>
          <w:b w:val="0"/>
          <w:sz w:val="18"/>
        </w:rPr>
        <w:t>2. Bank Statements   -&gt; Average monthly credits and debits are high, with a single EMI bounce in 6 months -&gt; slightly increases risk</w:t>
      </w:r>
    </w:p>
    <w:p>
      <w:pPr>
        <w:spacing w:after="40"/>
      </w:pPr>
      <w:r>
        <w:rPr>
          <w:rFonts w:ascii="Arial" w:hAnsi="Arial"/>
          <w:b w:val="0"/>
          <w:sz w:val="18"/>
        </w:rPr>
        <w:t>3. External Research -&gt; No negative news, litigation, or regulatory actions found -&gt; decreases risk</w:t>
      </w:r>
    </w:p>
    <w:p>
      <w:pPr>
        <w:spacing w:after="40"/>
      </w:pPr>
      <w:r>
        <w:rPr>
          <w:rFonts w:ascii="Arial" w:hAnsi="Arial"/>
          <w:b w:val="0"/>
          <w:sz w:val="18"/>
        </w:rPr>
        <w:t>4. Primary Inputs    -&gt; Debt/Equity ratio is 0.54, indicating a moderate level of debt -&gt; neutral impact on risk</w:t>
      </w:r>
    </w:p>
    <w:p>
      <w:pPr>
        <w:spacing w:after="40"/>
      </w:pPr>
      <w:r>
        <w:rPr>
          <w:rFonts w:ascii="Arial" w:hAnsi="Arial"/>
          <w:b/>
          <w:sz w:val="18"/>
        </w:rPr>
        <w:t>DECISIVE FACTOR: The significant ITC discrepancy detected in the GST analysis is the single biggest reason for the conditional approval decision, as it raises concerns about potential tax evasion or misrepresentation of financials.</w:t>
      </w:r>
    </w:p>
    <w:p>
      <w:pPr>
        <w:spacing w:after="40"/>
      </w:pPr>
      <w:r>
        <w:rPr>
          <w:rFonts w:ascii="Arial" w:hAnsi="Arial"/>
          <w:b w:val="0"/>
          <w:sz w:val="18"/>
        </w:rPr>
        <w:t>EARLY WARNING SIGNALS:</w:t>
      </w:r>
    </w:p>
    <w:p>
      <w:pPr>
        <w:spacing w:after="40"/>
      </w:pPr>
      <w:r>
        <w:rPr>
          <w:rFonts w:ascii="Arial" w:hAnsi="Arial"/>
          <w:b w:val="0"/>
          <w:sz w:val="18"/>
        </w:rPr>
        <w:t>- Any further discrepancies in GST filings or payments</w:t>
      </w:r>
    </w:p>
    <w:p>
      <w:pPr>
        <w:spacing w:after="40"/>
      </w:pPr>
      <w:r>
        <w:rPr>
          <w:rFonts w:ascii="Arial" w:hAnsi="Arial"/>
          <w:b w:val="0"/>
          <w:sz w:val="18"/>
        </w:rPr>
        <w:t>- Increase in EMI bounces or credit defaults</w:t>
      </w:r>
    </w:p>
    <w:p>
      <w:pPr>
        <w:spacing w:after="40"/>
      </w:pPr>
      <w:r>
        <w:rPr>
          <w:rFonts w:ascii="Arial" w:hAnsi="Arial"/>
          <w:b w:val="0"/>
          <w:sz w:val="18"/>
        </w:rPr>
        <w:t>- Adverse changes in the company's debt-equity ratio or interest coverage ratio</w:t>
      </w:r>
    </w:p>
    <w:p>
      <w:pPr>
        <w:spacing w:after="40"/>
      </w:pPr>
      <w:r>
        <w:rPr>
          <w:rFonts w:ascii="Arial" w:hAnsi="Arial"/>
          <w:b/>
          <w:sz w:val="18"/>
        </w:rPr>
        <w:t>LOAN CONDITIONS:</w:t>
      </w:r>
    </w:p>
    <w:p>
      <w:pPr>
        <w:spacing w:after="40"/>
      </w:pPr>
      <w:r>
        <w:rPr>
          <w:rFonts w:ascii="Arial" w:hAnsi="Arial"/>
          <w:b w:val="0"/>
          <w:sz w:val="18"/>
        </w:rPr>
        <w:t>- The company must provide a written explanation for the ITC discrepancy and rectify it within the next two GST filing cycles</w:t>
      </w:r>
    </w:p>
    <w:p>
      <w:pPr>
        <w:spacing w:after="40"/>
      </w:pPr>
      <w:r>
        <w:rPr>
          <w:rFonts w:ascii="Arial" w:hAnsi="Arial"/>
          <w:b w:val="0"/>
          <w:sz w:val="18"/>
        </w:rPr>
        <w:t>- The company must maintain a minimum debt-equity ratio of 0.6 and interest coverage ratio of 4 during the loan tenure</w:t>
      </w:r>
    </w:p>
    <w:p>
      <w:pPr>
        <w:spacing w:after="40"/>
      </w:pPr>
      <w:r>
        <w:rPr>
          <w:rFonts w:ascii="Arial" w:hAnsi="Arial"/>
          <w:b w:val="0"/>
          <w:sz w:val="18"/>
        </w:rPr>
        <w:t>- The company must provide quarterly updates on its financial performance and GST compliance to the bank</w:t>
      </w:r>
    </w:p>
    <w:p/>
    <w:p>
      <w:pPr>
        <w:spacing w:before="240" w:after="100"/>
        <w:pBdr>
          <w:left w:val="single" w:sz="18" w:space="6" w:color="0d1f5c"/>
        </w:pBdr>
      </w:pPr>
      <w:r>
        <w:rPr>
          <w:rFonts w:ascii="Arial" w:hAnsi="Arial"/>
          <w:b/>
          <w:color w:val="1A3080"/>
          <w:sz w:val="22"/>
        </w:rPr>
        <w:t>SECTION 7 — RECOMMENDATION</w:t>
      </w:r>
    </w:p>
    <w:p>
      <w:r>
        <w:rPr>
          <w:rFonts w:ascii="Arial" w:hAnsi="Arial"/>
          <w:b/>
          <w:color w:val="B85C00"/>
          <w:sz w:val="26"/>
        </w:rPr>
        <w:t>DECISION: CONDITIONAL APPROVAL</w:t>
      </w:r>
    </w:p>
    <w:p>
      <w:r>
        <w:rPr>
          <w:rFonts w:ascii="Arial" w:hAnsi="Arial"/>
          <w:sz w:val="18"/>
        </w:rPr>
        <w:t>Decisive Factor: The significant ITC discrepancy detected in the GST analysis is the single biggest reason for the conditional approval decision, as it raises concerns about potential tax evasion or misrepresentation of financials.</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C5068"/>
        <w:sz w:val="15"/>
      </w:rPr>
      <w:t>Ref: CAM/2026/LAKM/03091630  |  Intelli-Credit Bank  |  STRICTLY CONFIDENTIAL  |  09 Mar 2026  |  Intelli-Credit AI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