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CAM/2026/LAKM/03091638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fff4e5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B85C00"/>
                <w:sz w:val="18"/>
              </w:rPr>
              <w:t>CONDITIONAL APPROVAL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206,250,000 (2062.50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27AABCL9876R1ZX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CAM/2026/LAKM/03091638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CONDITIONAL APPROVAL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0.350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206,250,000 (2062.50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11,850,000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7.17/10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1.6513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1.6040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1.3829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Debt / Equity Ratio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0.7637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further discrepancies in GST filings or payments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 in EMI bounces or credit defaults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Deterioration in debt servicing ability or cash flows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Rs.2062.50 Lakhs</w:t>
      </w:r>
    </w:p>
    <w:p>
      <w:pPr>
        <w:spacing w:after="40"/>
      </w:pPr>
      <w:r>
        <w:rPr>
          <w:rFonts w:ascii="Arial" w:hAnsi="Arial"/>
          <w:b/>
          <w:sz w:val="18"/>
        </w:rPr>
        <w:t>RATE: 11.30%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 with a 59.42% variance between 2A and 3B returns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credits and debits are reasonable, but one EMI bounce is a concern -&gt; slightly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0.54, which is reasonable, but the sector risk score is 5/10 -&gt; neutral impact on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 is the single biggest reason for the conditional approval decision, as it raises concerns about potential tax evasion or manipulation.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further discrepancies in GST filings or payments</w:t>
      </w:r>
    </w:p>
    <w:p>
      <w:pPr>
        <w:spacing w:after="40"/>
      </w:pPr>
      <w:r>
        <w:rPr>
          <w:rFonts w:ascii="Arial" w:hAnsi="Arial"/>
          <w:b w:val="0"/>
          <w:sz w:val="18"/>
        </w:rPr>
        <w:t>- Increase in EMI bounces or credit defaults</w:t>
      </w:r>
    </w:p>
    <w:p>
      <w:pPr>
        <w:spacing w:after="40"/>
      </w:pPr>
      <w:r>
        <w:rPr>
          <w:rFonts w:ascii="Arial" w:hAnsi="Arial"/>
          <w:b w:val="0"/>
          <w:sz w:val="18"/>
        </w:rPr>
        <w:t>- Deterioration in debt servicing ability or cash flows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a written explanation for the ITC discrepancy and rectify it within the next two GST filing cycles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average monthly balance of Rs. 10,000,000 in their account with the bank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updates on their financial performance and GST compliance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B85C00"/>
          <w:sz w:val="26"/>
        </w:rPr>
        <w:t>DECISION: CONDITIONAL APPROVAL</w:t>
      </w:r>
    </w:p>
    <w:p>
      <w:r>
        <w:rPr>
          <w:rFonts w:ascii="Arial" w:hAnsi="Arial"/>
          <w:sz w:val="18"/>
        </w:rPr>
        <w:t>Decisive Factor: The significant ITC discrepancy detected in the GST analysis is the single biggest reason for the conditional approval decision, as it raises concerns about potential tax evasion or manipulation.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CAM/2026/LAKM/03091638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