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757575"/>
          <w:sz w:val="20"/>
        </w:rPr>
        <w:t>Intelli-Credit Bank</w:t>
      </w:r>
    </w:p>
    <w:p>
      <w:pPr>
        <w:jc w:val="center"/>
      </w:pPr>
      <w:r>
        <w:rPr>
          <w:b/>
          <w:color w:val="1A237E"/>
          <w:sz w:val="36"/>
        </w:rPr>
        <w:t>Credit Appraisal Memorandum</w:t>
      </w:r>
    </w:p>
    <w:p>
      <w:pPr>
        <w:jc w:val="center"/>
      </w:pPr>
      <w:r>
        <w:rPr>
          <w:color w:val="757575"/>
          <w:sz w:val="18"/>
        </w:rPr>
        <w:t>Generated: 07 March 2026 | Prepared by: Intelli-Credit AI Engine</w:t>
      </w:r>
    </w:p>
    <w:p/>
    <w:p>
      <w:pPr>
        <w:pStyle w:val="Heading1"/>
      </w:pPr>
      <w:r>
        <w:rPr>
          <w:color w:val="1A237E"/>
        </w:rPr>
        <w:t>1. EXECUTIVE SUMMARY</w:t>
      </w:r>
    </w:p>
    <w:tbl>
      <w:tblPr>
        <w:tblStyle w:val="TableGrid"/>
        <w:tblW w:type="auto" w:w="0"/>
        <w:tblLook w:firstColumn="1" w:firstRow="1" w:lastColumn="0" w:lastRow="0" w:noHBand="0" w:noVBand="1" w:val="04A0"/>
      </w:tblPr>
      <w:tblGrid>
        <w:gridCol w:w="2835"/>
        <w:gridCol w:w="6236"/>
      </w:tblGrid>
      <w:tr>
        <w:tc>
          <w:tcPr>
            <w:tcW w:type="dxa" w:w="2835"/>
          </w:tcPr>
          <w:p>
            <w:r>
              <w:rPr>
                <w:b/>
              </w:rPr>
              <w:t>Company Name</w:t>
            </w:r>
          </w:p>
        </w:tc>
        <w:tc>
          <w:tcPr>
            <w:tcW w:type="dxa" w:w="6236"/>
          </w:tcPr>
          <w:p>
            <w:r>
              <w:t xml:space="preserve">Lakme </w:t>
            </w:r>
          </w:p>
        </w:tc>
      </w:tr>
      <w:tr>
        <w:tc>
          <w:tcPr>
            <w:tcW w:type="dxa" w:w="2835"/>
          </w:tcPr>
          <w:p>
            <w:r>
              <w:rPr>
                <w:b/>
              </w:rPr>
              <w:t>GSTIN</w:t>
            </w:r>
          </w:p>
        </w:tc>
        <w:tc>
          <w:tcPr>
            <w:tcW w:type="dxa" w:w="6236"/>
          </w:tcPr>
          <w:p>
            <w:r>
              <w:t>N/A</w:t>
            </w:r>
          </w:p>
        </w:tc>
      </w:tr>
      <w:tr>
        <w:tc>
          <w:tcPr>
            <w:tcW w:type="dxa" w:w="2835"/>
          </w:tcPr>
          <w:p>
            <w:r>
              <w:rPr>
                <w:b/>
              </w:rPr>
              <w:t>Report Date</w:t>
            </w:r>
          </w:p>
        </w:tc>
        <w:tc>
          <w:tcPr>
            <w:tcW w:type="dxa" w:w="6236"/>
          </w:tcPr>
          <w:p>
            <w:r>
              <w:t>07-03-2026</w:t>
            </w:r>
          </w:p>
        </w:tc>
      </w:tr>
      <w:tr>
        <w:tc>
          <w:tcPr>
            <w:tcW w:type="dxa" w:w="2835"/>
          </w:tcPr>
          <w:p>
            <w:r>
              <w:rPr>
                <w:b/>
              </w:rPr>
              <w:t>AI Decision</w:t>
            </w:r>
          </w:p>
        </w:tc>
        <w:tc>
          <w:tcPr>
            <w:tcW w:type="dxa" w:w="6236"/>
          </w:tcPr>
          <w:p>
            <w:r>
              <w:t>APPROVE</w:t>
            </w:r>
          </w:p>
        </w:tc>
      </w:tr>
      <w:tr>
        <w:tc>
          <w:tcPr>
            <w:tcW w:type="dxa" w:w="2835"/>
          </w:tcPr>
          <w:p>
            <w:r>
              <w:rPr>
                <w:b/>
              </w:rPr>
              <w:t>Risk Category</w:t>
            </w:r>
          </w:p>
        </w:tc>
        <w:tc>
          <w:tcPr>
            <w:tcW w:type="dxa" w:w="6236"/>
          </w:tcPr>
          <w:p>
            <w:r>
              <w:t>LOW</w:t>
            </w:r>
          </w:p>
        </w:tc>
      </w:tr>
      <w:tr>
        <w:tc>
          <w:tcPr>
            <w:tcW w:type="dxa" w:w="2835"/>
          </w:tcPr>
          <w:p>
            <w:r>
              <w:rPr>
                <w:b/>
              </w:rPr>
              <w:t>Risk Score</w:t>
            </w:r>
          </w:p>
        </w:tc>
        <w:tc>
          <w:tcPr>
            <w:tcW w:type="dxa" w:w="6236"/>
          </w:tcPr>
          <w:p>
            <w:r>
              <w:t>0.258 / 1.000</w:t>
            </w:r>
          </w:p>
        </w:tc>
      </w:tr>
      <w:tr>
        <w:tc>
          <w:tcPr>
            <w:tcW w:type="dxa" w:w="2835"/>
          </w:tcPr>
          <w:p>
            <w:r>
              <w:rPr>
                <w:b/>
              </w:rPr>
              <w:t>Loan Limit</w:t>
            </w:r>
          </w:p>
        </w:tc>
        <w:tc>
          <w:tcPr>
            <w:tcW w:type="dxa" w:w="6236"/>
          </w:tcPr>
          <w:p>
            <w:r>
              <w:t>Rs. 219.48 Lakhs  (Rs. 21,947,766)</w:t>
            </w:r>
          </w:p>
        </w:tc>
      </w:tr>
      <w:tr>
        <w:tc>
          <w:tcPr>
            <w:tcW w:type="dxa" w:w="2835"/>
          </w:tcPr>
          <w:p>
            <w:r>
              <w:rPr>
                <w:b/>
              </w:rPr>
              <w:t>Interest Rate</w:t>
            </w:r>
          </w:p>
        </w:tc>
        <w:tc>
          <w:tcPr>
            <w:tcW w:type="dxa" w:w="6236"/>
          </w:tcPr>
          <w:p>
            <w:r>
              <w:t>10.56% p.a.</w:t>
            </w:r>
          </w:p>
        </w:tc>
      </w:tr>
    </w:tbl>
    <w:p/>
    <w:p>
      <w:pPr>
        <w:pStyle w:val="Heading1"/>
      </w:pPr>
      <w:r>
        <w:rPr>
          <w:color w:val="1A237E"/>
        </w:rPr>
        <w:t>2. DERIVED FINANCIAL RATIOS (auto-computed from documents)</w:t>
      </w:r>
    </w:p>
    <w:tbl>
      <w:tblPr>
        <w:tblStyle w:val="TableGrid"/>
        <w:tblW w:type="auto" w:w="0"/>
        <w:tblLook w:firstColumn="1" w:firstRow="1" w:lastColumn="0" w:lastRow="0" w:noHBand="0" w:noVBand="1" w:val="04A0"/>
      </w:tblPr>
      <w:tblGrid>
        <w:gridCol w:w="2835"/>
        <w:gridCol w:w="6236"/>
      </w:tblGrid>
      <w:tr>
        <w:tc>
          <w:tcPr>
            <w:tcW w:type="dxa" w:w="2835"/>
          </w:tcPr>
          <w:p>
            <w:r>
              <w:rPr>
                <w:b/>
              </w:rPr>
              <w:t>Data Completeness</w:t>
            </w:r>
          </w:p>
        </w:tc>
        <w:tc>
          <w:tcPr>
            <w:tcW w:type="dxa" w:w="6236"/>
          </w:tcPr>
          <w:p>
            <w:r>
              <w:t>20%</w:t>
            </w:r>
          </w:p>
        </w:tc>
      </w:tr>
      <w:tr>
        <w:tc>
          <w:tcPr>
            <w:tcW w:type="dxa" w:w="2835"/>
          </w:tcPr>
          <w:p>
            <w:r>
              <w:rPr>
                <w:b/>
              </w:rPr>
              <w:t>Note 1</w:t>
            </w:r>
          </w:p>
        </w:tc>
        <w:tc>
          <w:tcPr>
            <w:tcW w:type="dxa" w:w="6236"/>
          </w:tcPr>
          <w:p>
            <w:r>
              <w:t>Only 20.0% of financial ratios could be auto-derived. Please ensure ITR and Bank Statement are uploaded.</w:t>
            </w:r>
          </w:p>
        </w:tc>
      </w:tr>
      <w:tr>
        <w:tc>
          <w:tcPr>
            <w:tcW w:type="dxa" w:w="2835"/>
          </w:tcPr>
          <w:p>
            <w:r>
              <w:rPr>
                <w:b/>
              </w:rPr>
              <w:t>Note 2</w:t>
            </w:r>
          </w:p>
        </w:tc>
        <w:tc>
          <w:tcPr>
            <w:tcW w:type="dxa" w:w="6236"/>
          </w:tcPr>
          <w:p>
            <w:r>
              <w:t>Net worth not found in ITR — officer must enter manually.</w:t>
            </w:r>
          </w:p>
        </w:tc>
      </w:tr>
      <w:tr>
        <w:tc>
          <w:tcPr>
            <w:tcW w:type="dxa" w:w="2835"/>
          </w:tcPr>
          <w:p>
            <w:r>
              <w:rPr>
                <w:b/>
              </w:rPr>
              <w:t>Note 3</w:t>
            </w:r>
          </w:p>
        </w:tc>
        <w:tc>
          <w:tcPr>
            <w:tcW w:type="dxa" w:w="6236"/>
          </w:tcPr>
          <w:p>
            <w:r>
              <w:t>D/E ratio could not be derived — debt or net worth missing.</w:t>
            </w:r>
          </w:p>
        </w:tc>
      </w:tr>
    </w:tbl>
    <w:p/>
    <w:p>
      <w:pPr>
        <w:pStyle w:val="Heading1"/>
      </w:pPr>
      <w:r>
        <w:rPr>
          <w:color w:val="1A237E"/>
        </w:rPr>
        <w:t>3. AI REASONING CHAIN</w:t>
      </w:r>
    </w:p>
    <w:p>
      <w:r>
        <w:t>DECISION: Conditional Approval</w:t>
      </w:r>
    </w:p>
    <w:p>
      <w:r>
        <w:t>LIMIT: Rs.219.48 Lakhs</w:t>
      </w:r>
    </w:p>
    <w:p>
      <w:r>
        <w:t>RATE: 10.56% per annum</w:t>
      </w:r>
    </w:p>
    <w:p>
      <w:r>
        <w:t>REASONING CHAIN:</w:t>
      </w:r>
    </w:p>
    <w:p>
      <w:r>
        <w:t>1. GST Analysis      -&gt; Significant ITC discrepancy detected with a variance of 243.75% and turnover mismatch with a variance of 1431.82% -&gt; increases risk</w:t>
      </w:r>
    </w:p>
    <w:p>
      <w:r>
        <w:t>2. Bank Statements   -&gt; Average monthly credits are significantly higher than average monthly debits, indicating a healthy cash inflow, but average monthly balance is zero -&gt; decreases risk</w:t>
      </w:r>
    </w:p>
    <w:p>
      <w:r>
        <w:t>3. External Research -&gt; No negative news items, litigation, MCA charges, or RBI/SEBI actions found, with a news risk score of 0.0/10 -&gt; decreases risk</w:t>
      </w:r>
    </w:p>
    <w:p>
      <w:r>
        <w:t>4. Primary Inputs    -&gt; Debt/Equity ratio of 1.5 and collateral coverage of 75% indicate a moderate risk profile, while promoter score of 7/10 is satisfactory -&gt; decreases risk</w:t>
      </w:r>
    </w:p>
    <w:p>
      <w:r>
        <w:t>DECISIVE FACTOR: The significant ITC discrepancy detected in the GST analysis is the single biggest reason for the conditional approval decision, as it raises concerns about potential tax evasion or misrepresentation of financials.</w:t>
      </w:r>
    </w:p>
    <w:p>
      <w:r>
        <w:t>EARLY WARNING SIGNALS:</w:t>
      </w:r>
    </w:p>
    <w:p>
      <w:r>
        <w:t>- Any further discrepancies in GST filings or payments</w:t>
      </w:r>
    </w:p>
    <w:p>
      <w:r>
        <w:t>- Significant changes in the debt/equity ratio or collateral coverage</w:t>
      </w:r>
    </w:p>
    <w:p>
      <w:r>
        <w:t>- Adverse news or regulatory actions against the company</w:t>
      </w:r>
    </w:p>
    <w:p>
      <w:r>
        <w:t>LOAN CONDITIONS:</w:t>
      </w:r>
    </w:p>
    <w:p>
      <w:r>
        <w:t>- The company must provide a satisfactory explanation for the ITC discrepancy and turnover mismatch in their GST filings</w:t>
      </w:r>
    </w:p>
    <w:p>
      <w:r>
        <w:t>- The company must agree to a GST audit and GSTN portal verification before loan disbursement</w:t>
      </w:r>
    </w:p>
    <w:p>
      <w:r>
        <w:t>- The company must maintain a minimum average monthly balance of Rs. 50 lakhs in their bank account to ensure timely loan repayments</w:t>
      </w:r>
    </w:p>
    <w:p/>
    <w:p>
      <w:pPr>
        <w:pStyle w:val="Heading1"/>
      </w:pPr>
      <w:r>
        <w:rPr>
          <w:color w:val="1A237E"/>
        </w:rPr>
        <w:t>4. FIVE Cs ANALYSIS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w:t>
            </w:r>
          </w:p>
        </w:tc>
        <w:tc>
          <w:tcPr>
            <w:tcW w:type="dxa" w:w="3135"/>
          </w:tcPr>
          <w:p>
            <w:r>
              <w:rPr>
                <w:b/>
              </w:rPr>
              <w:t>Score</w:t>
            </w:r>
          </w:p>
        </w:tc>
        <w:tc>
          <w:tcPr>
            <w:tcW w:type="dxa" w:w="3135"/>
          </w:tcPr>
          <w:p>
            <w:r>
              <w:rPr>
                <w:b/>
              </w:rPr>
              <w:t>Summary</w:t>
            </w:r>
          </w:p>
        </w:tc>
      </w:tr>
      <w:tr>
        <w:tc>
          <w:tcPr>
            <w:tcW w:type="dxa" w:w="3135"/>
          </w:tcPr>
          <w:p>
            <w:r>
              <w:t>Character</w:t>
            </w:r>
          </w:p>
        </w:tc>
        <w:tc>
          <w:tcPr>
            <w:tcW w:type="dxa" w:w="3135"/>
          </w:tcPr>
          <w:p>
            <w:r>
              <w:t>6.5/10</w:t>
            </w:r>
          </w:p>
        </w:tc>
        <w:tc>
          <w:tcPr>
            <w:tcW w:type="dxa" w:w="3135"/>
          </w:tcPr>
          <w:p>
            <w:r>
              <w:t>Good character with minor concerns. Monitor regularly.</w:t>
            </w:r>
          </w:p>
        </w:tc>
      </w:tr>
      <w:tr>
        <w:tc>
          <w:tcPr>
            <w:tcW w:type="dxa" w:w="3135"/>
          </w:tcPr>
          <w:p>
            <w:r>
              <w:t>Capacity</w:t>
            </w:r>
          </w:p>
        </w:tc>
        <w:tc>
          <w:tcPr>
            <w:tcW w:type="dxa" w:w="3135"/>
          </w:tcPr>
          <w:p>
            <w:r>
              <w:t>7.0/10</w:t>
            </w:r>
          </w:p>
        </w:tc>
        <w:tc>
          <w:tcPr>
            <w:tcW w:type="dxa" w:w="3135"/>
          </w:tcPr>
          <w:p>
            <w:r>
              <w:t>Good capacity with adequate cash flows to service debt.</w:t>
            </w:r>
          </w:p>
        </w:tc>
      </w:tr>
      <w:tr>
        <w:tc>
          <w:tcPr>
            <w:tcW w:type="dxa" w:w="3135"/>
          </w:tcPr>
          <w:p>
            <w:r>
              <w:t>Capital</w:t>
            </w:r>
          </w:p>
        </w:tc>
        <w:tc>
          <w:tcPr>
            <w:tcW w:type="dxa" w:w="3135"/>
          </w:tcPr>
          <w:p>
            <w:r>
              <w:t>7.5/10</w:t>
            </w:r>
          </w:p>
        </w:tc>
        <w:tc>
          <w:tcPr>
            <w:tcW w:type="dxa" w:w="3135"/>
          </w:tcPr>
          <w:p>
            <w:r>
              <w:t>Adequate capital. Leverage within acceptable limits.</w:t>
            </w:r>
          </w:p>
        </w:tc>
      </w:tr>
      <w:tr>
        <w:tc>
          <w:tcPr>
            <w:tcW w:type="dxa" w:w="3135"/>
          </w:tcPr>
          <w:p>
            <w:r>
              <w:t>Collateral</w:t>
            </w:r>
          </w:p>
        </w:tc>
        <w:tc>
          <w:tcPr>
            <w:tcW w:type="dxa" w:w="3135"/>
          </w:tcPr>
          <w:p>
            <w:r>
              <w:t>6.0/10</w:t>
            </w:r>
          </w:p>
        </w:tc>
        <w:tc>
          <w:tcPr>
            <w:tcW w:type="dxa" w:w="3135"/>
          </w:tcPr>
          <w:p>
            <w:r>
              <w:t>Adequate collateral. Loan well-secured.</w:t>
            </w:r>
          </w:p>
        </w:tc>
      </w:tr>
      <w:tr>
        <w:tc>
          <w:tcPr>
            <w:tcW w:type="dxa" w:w="3135"/>
          </w:tcPr>
          <w:p>
            <w:r>
              <w:t>Conditions</w:t>
            </w:r>
          </w:p>
        </w:tc>
        <w:tc>
          <w:tcPr>
            <w:tcW w:type="dxa" w:w="3135"/>
          </w:tcPr>
          <w:p>
            <w:r>
              <w:t>7.0/10</w:t>
            </w:r>
          </w:p>
        </w:tc>
        <w:tc>
          <w:tcPr>
            <w:tcW w:type="dxa" w:w="3135"/>
          </w:tcPr>
          <w:p>
            <w:r>
              <w:t>Neutral conditions. Standard sector risk.</w:t>
            </w:r>
          </w:p>
        </w:tc>
      </w:tr>
      <w:tr>
        <w:tc>
          <w:tcPr>
            <w:tcW w:type="dxa" w:w="3135"/>
          </w:tcPr>
          <w:p>
            <w:r>
              <w:rPr>
                <w:b/>
              </w:rPr>
              <w:t>OVERALL</w:t>
            </w:r>
          </w:p>
        </w:tc>
        <w:tc>
          <w:tcPr>
            <w:tcW w:type="dxa" w:w="3135"/>
          </w:tcPr>
          <w:p>
            <w:r>
              <w:rPr>
                <w:b/>
              </w:rPr>
              <w:t>6.83/10</w:t>
            </w:r>
          </w:p>
        </w:tc>
        <w:tc>
          <w:tcPr>
            <w:tcW w:type="dxa" w:w="3135"/>
          </w:tcPr>
          <w:p>
            <w:r>
              <w:rPr>
                <w:b/>
              </w:rPr>
              <w:t>Weighted average</w:t>
            </w:r>
          </w:p>
        </w:tc>
      </w:tr>
    </w:tbl>
    <w:p/>
    <w:p>
      <w:pPr>
        <w:pStyle w:val="Heading1"/>
      </w:pPr>
      <w:r>
        <w:rPr>
          <w:color w:val="1A237E"/>
        </w:rPr>
        <w:t>5. AI RISK DRIVERS (SHAP)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Factor</w:t>
            </w:r>
          </w:p>
        </w:tc>
        <w:tc>
          <w:tcPr>
            <w:tcW w:type="dxa" w:w="3135"/>
          </w:tcPr>
          <w:p>
            <w:r>
              <w:rPr>
                <w:b/>
              </w:rPr>
              <w:t>Impact</w:t>
            </w:r>
          </w:p>
        </w:tc>
        <w:tc>
          <w:tcPr>
            <w:tcW w:type="dxa" w:w="3135"/>
          </w:tcPr>
          <w:p>
            <w:r>
              <w:rPr>
                <w:b/>
              </w:rPr>
              <w:t>Direction</w:t>
            </w:r>
          </w:p>
        </w:tc>
      </w:tr>
      <w:tr>
        <w:tc>
          <w:tcPr>
            <w:tcW w:type="dxa" w:w="3135"/>
          </w:tcPr>
          <w:p>
            <w:r>
              <w:t>GSTR 2A vs 3B Variance</w:t>
            </w:r>
          </w:p>
        </w:tc>
        <w:tc>
          <w:tcPr>
            <w:tcW w:type="dxa" w:w="3135"/>
          </w:tcPr>
          <w:p>
            <w:r>
              <w:t>2.7400</w:t>
            </w:r>
          </w:p>
        </w:tc>
        <w:tc>
          <w:tcPr>
            <w:tcW w:type="dxa" w:w="3135"/>
          </w:tcPr>
          <w:p>
            <w:r>
              <w:t>increases risk</w:t>
            </w:r>
          </w:p>
        </w:tc>
      </w:tr>
      <w:tr>
        <w:tc>
          <w:tcPr>
            <w:tcW w:type="dxa" w:w="3135"/>
          </w:tcPr>
          <w:p>
            <w:r>
              <w:t>EMI Bounce Count</w:t>
            </w:r>
          </w:p>
        </w:tc>
        <w:tc>
          <w:tcPr>
            <w:tcW w:type="dxa" w:w="3135"/>
          </w:tcPr>
          <w:p>
            <w:r>
              <w:t>1.8459</w:t>
            </w:r>
          </w:p>
        </w:tc>
        <w:tc>
          <w:tcPr>
            <w:tcW w:type="dxa" w:w="3135"/>
          </w:tcPr>
          <w:p>
            <w:r>
              <w:t>decreases risk</w:t>
            </w:r>
          </w:p>
        </w:tc>
      </w:tr>
      <w:tr>
        <w:tc>
          <w:tcPr>
            <w:tcW w:type="dxa" w:w="3135"/>
          </w:tcPr>
          <w:p>
            <w:r>
              <w:t>Active Litigation</w:t>
            </w:r>
          </w:p>
        </w:tc>
        <w:tc>
          <w:tcPr>
            <w:tcW w:type="dxa" w:w="3135"/>
          </w:tcPr>
          <w:p>
            <w:r>
              <w:t>1.6317</w:t>
            </w:r>
          </w:p>
        </w:tc>
        <w:tc>
          <w:tcPr>
            <w:tcW w:type="dxa" w:w="3135"/>
          </w:tcPr>
          <w:p>
            <w:r>
              <w:t>decreases risk</w:t>
            </w:r>
          </w:p>
        </w:tc>
      </w:tr>
      <w:tr>
        <w:tc>
          <w:tcPr>
            <w:tcW w:type="dxa" w:w="3135"/>
          </w:tcPr>
          <w:p>
            <w:r>
              <w:t>GST Filing Regularity</w:t>
            </w:r>
          </w:p>
        </w:tc>
        <w:tc>
          <w:tcPr>
            <w:tcW w:type="dxa" w:w="3135"/>
          </w:tcPr>
          <w:p>
            <w:r>
              <w:t>1.6302</w:t>
            </w:r>
          </w:p>
        </w:tc>
        <w:tc>
          <w:tcPr>
            <w:tcW w:type="dxa" w:w="3135"/>
          </w:tcPr>
          <w:p>
            <w:r>
              <w:t>decreases risk</w:t>
            </w:r>
          </w:p>
        </w:tc>
      </w:tr>
    </w:tbl>
    <w:p/>
    <w:p>
      <w:pPr>
        <w:pStyle w:val="Heading1"/>
      </w:pPr>
      <w:r>
        <w:rPr>
          <w:color w:val="1A237E"/>
        </w:rPr>
        <w:t>6. EARLY WARNING SIGNALS</w:t>
      </w:r>
    </w:p>
    <w:p>
      <w:r>
        <w:t>• Any further discrepancies in GST filings or payments</w:t>
      </w:r>
    </w:p>
    <w:p>
      <w:r>
        <w:t>• Significant changes in the debt/equity ratio or collateral coverage</w:t>
      </w:r>
    </w:p>
    <w:p>
      <w:r>
        <w:t>• Adverse news or regulatory actions against the company</w:t>
      </w:r>
    </w:p>
    <w:p/>
    <w:p>
      <w:pPr>
        <w:pStyle w:val="Heading1"/>
      </w:pPr>
      <w:r>
        <w:rPr>
          <w:color w:val="1A237E"/>
        </w:rPr>
        <w:t>7. EXTERNAL RESEARCH</w:t>
      </w:r>
    </w:p>
    <w:p>
      <w:r>
        <w:t>News Risk Score: 0.0/10 | Negative Articles: 0 | Litigation: No</w:t>
      </w:r>
    </w:p>
    <w:p>
      <w:r>
        <w:t>Found 2 articles: 0 negative, 2 positive. News risk score: 0.0/10. No litigation found. No MCA charges. No RBI/SEBI actions.</w:t>
      </w:r>
    </w:p>
    <w:p/>
    <w:p>
      <w:pPr>
        <w:pStyle w:val="Heading1"/>
      </w:pPr>
      <w:r>
        <w:rPr>
          <w:color w:val="1A237E"/>
        </w:rPr>
        <w:t>8. RECOMMENDATION</w:t>
      </w:r>
    </w:p>
    <w:p>
      <w:r>
        <w:rPr>
          <w:b/>
          <w:sz w:val="28"/>
        </w:rPr>
        <w:t>DECISION: APPROVE</w:t>
      </w:r>
    </w:p>
    <w:p>
      <w:r>
        <w:t>Decisive Factor: The significant ITC discrepancy detected in the GST analysis is the single biggest reason for the conditional approval decision, as it raises concerns about potential tax evasion or misrepresentation of financials.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Generated by Intelli-Credit AI Engine | Intelli-Credit Bank | Internal Use Only | 07-03-2026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