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color w:val="757575"/>
          <w:sz w:val="20"/>
        </w:rPr>
        <w:t>Intelli-Credit Bank</w:t>
      </w:r>
    </w:p>
    <w:p>
      <w:pPr>
        <w:jc w:val="center"/>
      </w:pPr>
      <w:r>
        <w:rPr>
          <w:b/>
          <w:color w:val="1A237E"/>
          <w:sz w:val="36"/>
        </w:rPr>
        <w:t>Credit Appraisal Memorandum</w:t>
      </w:r>
    </w:p>
    <w:p>
      <w:pPr>
        <w:jc w:val="center"/>
      </w:pPr>
      <w:r>
        <w:rPr>
          <w:color w:val="757575"/>
          <w:sz w:val="18"/>
        </w:rPr>
        <w:t>Generated: 06 March 2026 | Prepared by: Intelli-Credit AI Engine</w:t>
      </w:r>
    </w:p>
    <w:p/>
    <w:p>
      <w:pPr>
        <w:pStyle w:val="Heading1"/>
      </w:pPr>
      <w:r>
        <w:rPr>
          <w:color w:val="1A237E"/>
        </w:rPr>
        <w:t>1. EXECUTIVE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2268"/>
          </w:tcPr>
          <w:p>
            <w:r>
              <w:rPr>
                <w:b/>
              </w:rPr>
              <w:t>Company Name</w:t>
            </w:r>
          </w:p>
        </w:tc>
        <w:tc>
          <w:tcPr>
            <w:tcW w:type="dxa" w:w="6803"/>
          </w:tcPr>
          <w:p>
            <w:r>
              <w:t>Sunrise Apparels</w:t>
            </w:r>
          </w:p>
        </w:tc>
      </w:tr>
      <w:tr>
        <w:tc>
          <w:tcPr>
            <w:tcW w:type="dxa" w:w="2268"/>
          </w:tcPr>
          <w:p>
            <w:r>
              <w:rPr>
                <w:b/>
              </w:rPr>
              <w:t>GSTIN</w:t>
            </w:r>
          </w:p>
        </w:tc>
        <w:tc>
          <w:tcPr>
            <w:tcW w:type="dxa" w:w="6803"/>
          </w:tcPr>
          <w:p>
            <w:r>
              <w:t>N/A</w:t>
            </w:r>
          </w:p>
        </w:tc>
      </w:tr>
      <w:tr>
        <w:tc>
          <w:tcPr>
            <w:tcW w:type="dxa" w:w="2268"/>
          </w:tcPr>
          <w:p>
            <w:r>
              <w:rPr>
                <w:b/>
              </w:rPr>
              <w:t>Report Date</w:t>
            </w:r>
          </w:p>
        </w:tc>
        <w:tc>
          <w:tcPr>
            <w:tcW w:type="dxa" w:w="6803"/>
          </w:tcPr>
          <w:p>
            <w:r>
              <w:t>06-03-2026</w:t>
            </w:r>
          </w:p>
        </w:tc>
      </w:tr>
      <w:tr>
        <w:tc>
          <w:tcPr>
            <w:tcW w:type="dxa" w:w="2268"/>
          </w:tcPr>
          <w:p>
            <w:r>
              <w:rPr>
                <w:b/>
              </w:rPr>
              <w:t>AI Decision</w:t>
            </w:r>
          </w:p>
        </w:tc>
        <w:tc>
          <w:tcPr>
            <w:tcW w:type="dxa" w:w="6803"/>
          </w:tcPr>
          <w:p>
            <w:r>
              <w:t>REJECT</w:t>
            </w:r>
          </w:p>
        </w:tc>
      </w:tr>
      <w:tr>
        <w:tc>
          <w:tcPr>
            <w:tcW w:type="dxa" w:w="2268"/>
          </w:tcPr>
          <w:p>
            <w:r>
              <w:rPr>
                <w:b/>
              </w:rPr>
              <w:t>Risk Category</w:t>
            </w:r>
          </w:p>
        </w:tc>
        <w:tc>
          <w:tcPr>
            <w:tcW w:type="dxa" w:w="6803"/>
          </w:tcPr>
          <w:p>
            <w:r>
              <w:t>HIGH</w:t>
            </w:r>
          </w:p>
        </w:tc>
      </w:tr>
      <w:tr>
        <w:tc>
          <w:tcPr>
            <w:tcW w:type="dxa" w:w="2268"/>
          </w:tcPr>
          <w:p>
            <w:r>
              <w:rPr>
                <w:b/>
              </w:rPr>
              <w:t>Risk Score</w:t>
            </w:r>
          </w:p>
        </w:tc>
        <w:tc>
          <w:tcPr>
            <w:tcW w:type="dxa" w:w="6803"/>
          </w:tcPr>
          <w:p>
            <w:r>
              <w:t>0.750 / 1.000</w:t>
            </w:r>
          </w:p>
        </w:tc>
      </w:tr>
      <w:tr>
        <w:tc>
          <w:tcPr>
            <w:tcW w:type="dxa" w:w="2268"/>
          </w:tcPr>
          <w:p>
            <w:r>
              <w:rPr>
                <w:b/>
              </w:rPr>
              <w:t>Loan Limit</w:t>
            </w:r>
          </w:p>
        </w:tc>
        <w:tc>
          <w:tcPr>
            <w:tcW w:type="dxa" w:w="6803"/>
          </w:tcPr>
          <w:p>
            <w:r>
              <w:t>Rs. 0</w:t>
            </w:r>
          </w:p>
        </w:tc>
      </w:tr>
      <w:tr>
        <w:tc>
          <w:tcPr>
            <w:tcW w:type="dxa" w:w="2268"/>
          </w:tcPr>
          <w:p>
            <w:r>
              <w:rPr>
                <w:b/>
              </w:rPr>
              <w:t>Interest Rate</w:t>
            </w:r>
          </w:p>
        </w:tc>
        <w:tc>
          <w:tcPr>
            <w:tcW w:type="dxa" w:w="6803"/>
          </w:tcPr>
          <w:p>
            <w:r>
              <w:t>0.0% p.a.</w:t>
            </w:r>
          </w:p>
        </w:tc>
      </w:tr>
    </w:tbl>
    <w:p/>
    <w:p>
      <w:pPr>
        <w:pStyle w:val="Heading1"/>
      </w:pPr>
      <w:r>
        <w:rPr>
          <w:color w:val="1A237E"/>
        </w:rPr>
        <w:t>2. AI REASONING CHAIN</w:t>
      </w:r>
    </w:p>
    <w:p>
      <w:r>
        <w:t>DECISION: Reject</w:t>
      </w:r>
    </w:p>
    <w:p>
      <w:r>
        <w:t>LIMIT: Rs.0</w:t>
      </w:r>
    </w:p>
    <w:p>
      <w:r>
        <w:t>RATE: 0.0% per annum</w:t>
      </w:r>
    </w:p>
    <w:p>
      <w:r>
        <w:t>REASONING CHAIN:</w:t>
      </w:r>
    </w:p>
    <w:p>
      <w:r>
        <w:t>1. GST Analysis      -&gt; No mismatches or circular trading found, and no ITC manipulation detected -&gt; decreases risk</w:t>
      </w:r>
    </w:p>
    <w:p>
      <w:r>
        <w:t>2. Bank Statements   -&gt; Total debits are zero, and there's an EMI bounce, indicating potential cash flow issues -&gt; increases risk</w:t>
      </w:r>
    </w:p>
    <w:p>
      <w:r>
        <w:t>3. External Research -&gt; News risk score is low, but negative news items are unrelated to the company, and no litigation or regulatory actions found -&gt; decreases risk</w:t>
      </w:r>
    </w:p>
    <w:p>
      <w:r>
        <w:t>4. Primary Inputs    -&gt; Debt/Equity ratio is 0.8, and promoter score is 7/10, indicating moderate risk -&gt; increases risk</w:t>
      </w:r>
    </w:p>
    <w:p>
      <w:r>
        <w:t>DECISIVE FACTOR: The company's zero gross income, net income, and net worth, as per the ITR data, raise significant concerns about its creditworthiness and ability to repay the loan.</w:t>
      </w:r>
    </w:p>
    <w:p>
      <w:r>
        <w:t>EARLY WARNING SIGNALS:</w:t>
      </w:r>
    </w:p>
    <w:p>
      <w:r>
        <w:t>- Zero total debits in the bank statement, which may indicate a lack of business activity</w:t>
      </w:r>
    </w:p>
    <w:p>
      <w:r>
        <w:t>- Unrelated negative news items, which may not be directly relevant but could indicate a broader risk profile</w:t>
      </w:r>
    </w:p>
    <w:p>
      <w:r>
        <w:t>- Low promoter score, which may indicate a higher risk of default</w:t>
      </w:r>
    </w:p>
    <w:p>
      <w:r>
        <w:t>LOAN CONDITIONS:</w:t>
      </w:r>
    </w:p>
    <w:p>
      <w:r>
        <w:t>- NA</w:t>
      </w:r>
    </w:p>
    <w:p>
      <w:r>
        <w:t>- NA</w:t>
      </w:r>
    </w:p>
    <w:p/>
    <w:p>
      <w:pPr>
        <w:pStyle w:val="Heading1"/>
      </w:pPr>
      <w:r>
        <w:rPr>
          <w:color w:val="1A237E"/>
        </w:rPr>
        <w:t>3. FIVE Cs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C</w:t>
            </w:r>
          </w:p>
        </w:tc>
        <w:tc>
          <w:tcPr>
            <w:tcW w:type="dxa" w:w="3135"/>
          </w:tcPr>
          <w:p>
            <w:r>
              <w:rPr>
                <w:b/>
              </w:rPr>
              <w:t>Score</w:t>
            </w:r>
          </w:p>
        </w:tc>
        <w:tc>
          <w:tcPr>
            <w:tcW w:type="dxa" w:w="3135"/>
          </w:tcPr>
          <w:p>
            <w:r>
              <w:rPr>
                <w:b/>
              </w:rPr>
              <w:t>Summary</w:t>
            </w:r>
          </w:p>
        </w:tc>
      </w:tr>
      <w:tr>
        <w:tc>
          <w:tcPr>
            <w:tcW w:type="dxa" w:w="3135"/>
          </w:tcPr>
          <w:p>
            <w:r>
              <w:t>Character</w:t>
            </w:r>
          </w:p>
        </w:tc>
        <w:tc>
          <w:tcPr>
            <w:tcW w:type="dxa" w:w="3135"/>
          </w:tcPr>
          <w:p>
            <w:r>
              <w:t>7.5/10</w:t>
            </w:r>
          </w:p>
        </w:tc>
        <w:tc>
          <w:tcPr>
            <w:tcW w:type="dxa" w:w="3135"/>
          </w:tcPr>
          <w:p>
            <w:r>
              <w:t>Good character with minor concerns. Monitor regularly.</w:t>
            </w:r>
          </w:p>
        </w:tc>
      </w:tr>
      <w:tr>
        <w:tc>
          <w:tcPr>
            <w:tcW w:type="dxa" w:w="3135"/>
          </w:tcPr>
          <w:p>
            <w:r>
              <w:t>Capacity</w:t>
            </w:r>
          </w:p>
        </w:tc>
        <w:tc>
          <w:tcPr>
            <w:tcW w:type="dxa" w:w="3135"/>
          </w:tcPr>
          <w:p>
            <w:r>
              <w:t>5.5/10</w:t>
            </w:r>
          </w:p>
        </w:tc>
        <w:tc>
          <w:tcPr>
            <w:tcW w:type="dxa" w:w="3135"/>
          </w:tcPr>
          <w:p>
            <w:r>
              <w:t>Moderate capacity. Cash flows need monitoring post-disbursement.</w:t>
            </w:r>
          </w:p>
        </w:tc>
      </w:tr>
      <w:tr>
        <w:tc>
          <w:tcPr>
            <w:tcW w:type="dxa" w:w="3135"/>
          </w:tcPr>
          <w:p>
            <w:r>
              <w:t>Capital</w:t>
            </w:r>
          </w:p>
        </w:tc>
        <w:tc>
          <w:tcPr>
            <w:tcW w:type="dxa" w:w="3135"/>
          </w:tcPr>
          <w:p>
            <w:r>
              <w:t>10.0/10</w:t>
            </w:r>
          </w:p>
        </w:tc>
        <w:tc>
          <w:tcPr>
            <w:tcW w:type="dxa" w:w="3135"/>
          </w:tcPr>
          <w:p>
            <w:r>
              <w:t>Strong capital base. Well-capitalized with low leverage.</w:t>
            </w:r>
          </w:p>
        </w:tc>
      </w:tr>
      <w:tr>
        <w:tc>
          <w:tcPr>
            <w:tcW w:type="dxa" w:w="3135"/>
          </w:tcPr>
          <w:p>
            <w:r>
              <w:t>Collateral</w:t>
            </w:r>
          </w:p>
        </w:tc>
        <w:tc>
          <w:tcPr>
            <w:tcW w:type="dxa" w:w="3135"/>
          </w:tcPr>
          <w:p>
            <w:r>
              <w:t>6.0/10</w:t>
            </w:r>
          </w:p>
        </w:tc>
        <w:tc>
          <w:tcPr>
            <w:tcW w:type="dxa" w:w="3135"/>
          </w:tcPr>
          <w:p>
            <w:r>
              <w:t>Adequate collateral. Loan well-secured.</w:t>
            </w:r>
          </w:p>
        </w:tc>
      </w:tr>
      <w:tr>
        <w:tc>
          <w:tcPr>
            <w:tcW w:type="dxa" w:w="3135"/>
          </w:tcPr>
          <w:p>
            <w:r>
              <w:t>Conditions</w:t>
            </w:r>
          </w:p>
        </w:tc>
        <w:tc>
          <w:tcPr>
            <w:tcW w:type="dxa" w:w="3135"/>
          </w:tcPr>
          <w:p>
            <w:r>
              <w:t>7.0/10</w:t>
            </w:r>
          </w:p>
        </w:tc>
        <w:tc>
          <w:tcPr>
            <w:tcW w:type="dxa" w:w="3135"/>
          </w:tcPr>
          <w:p>
            <w:r>
              <w:t>Neutral conditions. Standard sector risk.</w:t>
            </w:r>
          </w:p>
        </w:tc>
      </w:tr>
      <w:tr>
        <w:tc>
          <w:tcPr>
            <w:tcW w:type="dxa" w:w="3135"/>
          </w:tcPr>
          <w:p>
            <w:r>
              <w:rPr>
                <w:b/>
              </w:rPr>
              <w:t>OVERALL</w:t>
            </w:r>
          </w:p>
        </w:tc>
        <w:tc>
          <w:tcPr>
            <w:tcW w:type="dxa" w:w="3135"/>
          </w:tcPr>
          <w:p>
            <w:r>
              <w:rPr>
                <w:b/>
              </w:rPr>
              <w:t>7.13/10</w:t>
            </w:r>
          </w:p>
        </w:tc>
        <w:tc>
          <w:tcPr>
            <w:tcW w:type="dxa" w:w="3135"/>
          </w:tcPr>
          <w:p>
            <w:r>
              <w:rPr>
                <w:b/>
              </w:rPr>
              <w:t>Weighted average</w:t>
            </w:r>
          </w:p>
        </w:tc>
      </w:tr>
    </w:tbl>
    <w:p/>
    <w:p>
      <w:pPr>
        <w:pStyle w:val="Heading1"/>
      </w:pPr>
      <w:r>
        <w:rPr>
          <w:color w:val="1A237E"/>
        </w:rPr>
        <w:t>4. AI RISK DRIVERS (SHAP)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3135"/>
          </w:tcPr>
          <w:p>
            <w:r>
              <w:rPr>
                <w:b/>
              </w:rPr>
              <w:t>Impact</w:t>
            </w:r>
          </w:p>
        </w:tc>
        <w:tc>
          <w:tcPr>
            <w:tcW w:type="dxa" w:w="3135"/>
          </w:tcPr>
          <w:p>
            <w:r>
              <w:rPr>
                <w:b/>
              </w:rPr>
              <w:t>Direction</w:t>
            </w:r>
          </w:p>
        </w:tc>
      </w:tr>
      <w:tr>
        <w:tc>
          <w:tcPr>
            <w:tcW w:type="dxa" w:w="3135"/>
          </w:tcPr>
          <w:p>
            <w:r>
              <w:t>EMI Bounces (1)</w:t>
            </w:r>
          </w:p>
        </w:tc>
        <w:tc>
          <w:tcPr>
            <w:tcW w:type="dxa" w:w="3135"/>
          </w:tcPr>
          <w:p>
            <w:r>
              <w:t>0.1000</w:t>
            </w:r>
          </w:p>
        </w:tc>
        <w:tc>
          <w:tcPr>
            <w:tcW w:type="dxa" w:w="3135"/>
          </w:tcPr>
          <w:p>
            <w:r>
              <w:t>increases risk</w:t>
            </w:r>
          </w:p>
        </w:tc>
      </w:tr>
      <w:tr>
        <w:tc>
          <w:tcPr>
            <w:tcW w:type="dxa" w:w="3135"/>
          </w:tcPr>
          <w:p>
            <w:r>
              <w:t>Healthy D/E Ratio (0.8)</w:t>
            </w:r>
          </w:p>
        </w:tc>
        <w:tc>
          <w:tcPr>
            <w:tcW w:type="dxa" w:w="3135"/>
          </w:tcPr>
          <w:p>
            <w:r>
              <w:t>0.0800</w:t>
            </w:r>
          </w:p>
        </w:tc>
        <w:tc>
          <w:tcPr>
            <w:tcW w:type="dxa" w:w="3135"/>
          </w:tcPr>
          <w:p>
            <w:r>
              <w:t>decreases risk</w:t>
            </w:r>
          </w:p>
        </w:tc>
      </w:tr>
    </w:tbl>
    <w:p/>
    <w:p>
      <w:pPr>
        <w:pStyle w:val="Heading1"/>
      </w:pPr>
      <w:r>
        <w:rPr>
          <w:color w:val="1A237E"/>
        </w:rPr>
        <w:t>5. EARLY WARNING SIGNALS</w:t>
      </w:r>
    </w:p>
    <w:p>
      <w:r>
        <w:t>• Zero total debits in the bank statement, which may indicate a lack of business activity</w:t>
      </w:r>
    </w:p>
    <w:p>
      <w:r>
        <w:t>• Unrelated negative news items, which may not be directly relevant but could indicate a broader risk profile</w:t>
      </w:r>
    </w:p>
    <w:p>
      <w:r>
        <w:t>• Low promoter score, which may indicate a higher risk of default</w:t>
      </w:r>
    </w:p>
    <w:p/>
    <w:p>
      <w:pPr>
        <w:pStyle w:val="Heading1"/>
      </w:pPr>
      <w:r>
        <w:rPr>
          <w:color w:val="1A237E"/>
        </w:rPr>
        <w:t>6. EXTERNAL RESEARCH</w:t>
      </w:r>
    </w:p>
    <w:p>
      <w:r>
        <w:t>News Risk Score: 0.7/10 | Negative Articles: 4 | Litigation: No</w:t>
      </w:r>
    </w:p>
    <w:p>
      <w:r>
        <w:t>Found 58 articles: 4 negative, 54 positive. News risk score: 0.7/10. Top negative: 'Skims pays civil penalty to resolve consumer fraud allegations, NJ AG reports - ' No litigation found. No MCA charges. No RBI/SEBI actions.</w:t>
      </w:r>
    </w:p>
    <w:p>
      <w:r>
        <w:rPr>
          <w:b/>
        </w:rPr>
        <w:t>Negative News:</w:t>
      </w:r>
    </w:p>
    <w:p>
      <w:r>
        <w:t>• Skims pays civil penalty to resolve consumer fraud allegations, NJ AG reports - FOX 5 New York (Tue, 20 Ja)</w:t>
      </w:r>
    </w:p>
    <w:p>
      <w:r>
        <w:t>• 5 people arrested in Vancouver police DTES fencing sting - CBC (Thu, 06 Ju)</w:t>
      </w:r>
    </w:p>
    <w:p>
      <w:r>
        <w:t>• Fake Brinks Guard Burglar Arrested: BSO - NBC 6 South Florida (Thu, 06 Se)</w:t>
      </w:r>
    </w:p>
    <w:p>
      <w:r>
        <w:t>• Forget Trademarks, Trade Secret Info A Draw in Bankruptcy Sales - The Fashion Law (Wed, 11 Ma)</w:t>
      </w:r>
    </w:p>
    <w:p/>
    <w:p>
      <w:pPr>
        <w:pStyle w:val="Heading1"/>
      </w:pPr>
      <w:r>
        <w:rPr>
          <w:color w:val="1A237E"/>
        </w:rPr>
        <w:t>7. RECOMMENDATION</w:t>
      </w:r>
    </w:p>
    <w:p>
      <w:r>
        <w:rPr>
          <w:b/>
          <w:sz w:val="28"/>
        </w:rPr>
        <w:t>DECISION: REJECT</w:t>
      </w:r>
    </w:p>
    <w:p>
      <w:r>
        <w:t>Decisive Factor: The company's zero gross income, net income, and net worth, as per the ITR data, raise significant concerns about its creditworthiness and ability to repay the loan.</w:t>
      </w:r>
    </w:p>
    <w:sectPr w:rsidR="00FC693F" w:rsidRPr="0006063C" w:rsidSect="00034616">
      <w:footerReference w:type="default" r:id="rId9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57575"/>
        <w:sz w:val="16"/>
      </w:rPr>
      <w:t>Generated by Intelli-Credit AI Engine | Intelli-Credit Bank | Internal Use Only | 06-03-2026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