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57575"/>
          <w:sz w:val="20"/>
        </w:rPr>
        <w:t>Intelli-Credit Bank</w:t>
      </w:r>
    </w:p>
    <w:p>
      <w:pPr>
        <w:jc w:val="center"/>
      </w:pPr>
      <w:r>
        <w:rPr>
          <w:b/>
          <w:color w:val="1A237E"/>
          <w:sz w:val="36"/>
        </w:rPr>
        <w:t>Credit Appraisal Memorandum</w:t>
      </w:r>
    </w:p>
    <w:p>
      <w:pPr>
        <w:jc w:val="center"/>
      </w:pPr>
      <w:r>
        <w:rPr>
          <w:color w:val="757575"/>
          <w:sz w:val="18"/>
        </w:rPr>
        <w:t>Generated: 07 March 2026 | Prepared by: Intelli-Credit AI Engine</w:t>
      </w:r>
    </w:p>
    <w:p/>
    <w:p>
      <w:pPr>
        <w:pStyle w:val="Heading1"/>
      </w:pPr>
      <w:r>
        <w:rPr>
          <w:color w:val="1A237E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6236"/>
          </w:tcPr>
          <w:p>
            <w:r>
              <w:t>Sunrise Apparels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GSTIN</w:t>
            </w:r>
          </w:p>
        </w:tc>
        <w:tc>
          <w:tcPr>
            <w:tcW w:type="dxa" w:w="6236"/>
          </w:tcPr>
          <w:p>
            <w:r>
              <w:t>27AAFCS1234M1Z5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236"/>
          </w:tcPr>
          <w:p>
            <w:r>
              <w:t>07-03-2026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AI Decision</w:t>
            </w:r>
          </w:p>
        </w:tc>
        <w:tc>
          <w:tcPr>
            <w:tcW w:type="dxa" w:w="6236"/>
          </w:tcPr>
          <w:p>
            <w:r>
              <w:t>APPROVE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Category</w:t>
            </w:r>
          </w:p>
        </w:tc>
        <w:tc>
          <w:tcPr>
            <w:tcW w:type="dxa" w:w="6236"/>
          </w:tcPr>
          <w:p>
            <w:r>
              <w:t>LOW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6236"/>
          </w:tcPr>
          <w:p>
            <w:r>
              <w:t>0.011 / 1.000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Loan Limit</w:t>
            </w:r>
          </w:p>
        </w:tc>
        <w:tc>
          <w:tcPr>
            <w:tcW w:type="dxa" w:w="6236"/>
          </w:tcPr>
          <w:p>
            <w:r>
              <w:t>Rs. 15.45 Lakhs  (Rs. 1,545,144)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Interest Rate</w:t>
            </w:r>
          </w:p>
        </w:tc>
        <w:tc>
          <w:tcPr>
            <w:tcW w:type="dxa" w:w="6236"/>
          </w:tcPr>
          <w:p>
            <w:r>
              <w:t>8.59% p.a.</w:t>
            </w:r>
          </w:p>
        </w:tc>
      </w:tr>
    </w:tbl>
    <w:p/>
    <w:p>
      <w:pPr>
        <w:pStyle w:val="Heading1"/>
      </w:pPr>
      <w:r>
        <w:rPr>
          <w:color w:val="1A237E"/>
        </w:rPr>
        <w:t>2. DERIVED FINANCIAL RATIOS (auto-computed from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Avg Monthly Balance</w:t>
            </w:r>
          </w:p>
        </w:tc>
        <w:tc>
          <w:tcPr>
            <w:tcW w:type="dxa" w:w="6236"/>
          </w:tcPr>
          <w:p>
            <w:r>
              <w:t>Rs. 4,285,600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Data Completeness</w:t>
            </w:r>
          </w:p>
        </w:tc>
        <w:tc>
          <w:tcPr>
            <w:tcW w:type="dxa" w:w="6236"/>
          </w:tcPr>
          <w:p>
            <w:r>
              <w:t>30%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1</w:t>
            </w:r>
          </w:p>
        </w:tc>
        <w:tc>
          <w:tcPr>
            <w:tcW w:type="dxa" w:w="6236"/>
          </w:tcPr>
          <w:p>
            <w: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2</w:t>
            </w:r>
          </w:p>
        </w:tc>
        <w:tc>
          <w:tcPr>
            <w:tcW w:type="dxa" w:w="6236"/>
          </w:tcPr>
          <w:p>
            <w:r>
              <w:t>Net worth not found in ITR — officer must enter manually.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Note 3</w:t>
            </w:r>
          </w:p>
        </w:tc>
        <w:tc>
          <w:tcPr>
            <w:tcW w:type="dxa" w:w="6236"/>
          </w:tcPr>
          <w:p>
            <w:r>
              <w:t>D/E ratio could not be derived — debt or net worth missing.</w:t>
            </w:r>
          </w:p>
        </w:tc>
      </w:tr>
    </w:tbl>
    <w:p/>
    <w:p>
      <w:pPr>
        <w:pStyle w:val="Heading1"/>
      </w:pPr>
      <w:r>
        <w:rPr>
          <w:color w:val="1A237E"/>
        </w:rPr>
        <w:t>3. AI REASONING CHAIN</w:t>
      </w:r>
    </w:p>
    <w:p>
      <w:r>
        <w:t>DECISION: Conditional Approval</w:t>
      </w:r>
    </w:p>
    <w:p>
      <w:r>
        <w:t>LIMIT: Rs.500.00</w:t>
      </w:r>
    </w:p>
    <w:p>
      <w:r>
        <w:t>RATE: 12.5% per annum</w:t>
      </w:r>
    </w:p>
    <w:p>
      <w:r>
        <w:t>REASONING CHAIN:</w:t>
      </w:r>
    </w:p>
    <w:p>
      <w:r>
        <w:t>1. GST Analysis      -&gt; Significant ITC discrepancy detected with a variance of 60.58% between GSTR-2A and GSTR-3B, indicating potential tax evasion or ITC manipulation -&gt; increases risk</w:t>
      </w:r>
    </w:p>
    <w:p>
      <w:r>
        <w:t>2. Bank Statements   -&gt; High total debits of Rs. 98,421,100 and low total credits of Rs. 10,358,333, indicating potential cash flow issues -&gt; increases risk</w:t>
      </w:r>
    </w:p>
    <w:p>
      <w:r>
        <w:t>3. External Research -&gt; Low news risk score of 0.5/10, with only one negative news item, indicating a relatively low reputational risk -&gt; decreases risk</w:t>
      </w:r>
    </w:p>
    <w:p>
      <w:r>
        <w:t>4. Primary Inputs    -&gt; Officer observation of a debt/equity ratio of 1.5, indicating moderate leverage, and a promoter score of 7/10, indicating moderate promoter credibility -&gt; neutral impact on final score</w:t>
      </w:r>
    </w:p>
    <w:p>
      <w:r>
        <w:t>DECISIVE FACTOR: The significant ITC discrepancy detected between GSTR-2A and GSTR-3B is the single biggest reason for the conditional approval decision, as it raises concerns about potential tax evasion or ITC manipulation.</w:t>
      </w:r>
    </w:p>
    <w:p>
      <w:r>
        <w:t>EARLY WARNING SIGNALS:</w:t>
      </w:r>
    </w:p>
    <w:p>
      <w:r>
        <w:t>- Significant increase in ITC claims or GST payments</w:t>
      </w:r>
    </w:p>
    <w:p>
      <w:r>
        <w:t>- Deterioration in bank statement credits or increase in debits</w:t>
      </w:r>
    </w:p>
    <w:p>
      <w:r>
        <w:t>- Negative news or reputational risks affecting the company's operations</w:t>
      </w:r>
    </w:p>
    <w:p>
      <w:r>
        <w:t>LOAN CONDITIONS:</w:t>
      </w:r>
    </w:p>
    <w:p>
      <w:r>
        <w:t>- Mandatory GST audit and GSTN portal verification before loan disbursement</w:t>
      </w:r>
    </w:p>
    <w:p>
      <w:r>
        <w:t>- Quarterly review of bank statements and GST returns to monitor for any discrepancies or potential risks</w:t>
      </w:r>
    </w:p>
    <w:p>
      <w:r>
        <w:t>- Regular monitoring of news and reputational risks affecting the company's operations</w:t>
      </w:r>
    </w:p>
    <w:p/>
    <w:p>
      <w:pPr>
        <w:pStyle w:val="Heading1"/>
      </w:pPr>
      <w:r>
        <w:rPr>
          <w:color w:val="1A237E"/>
        </w:rPr>
        <w:t>4. FIVE Cs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35"/>
          </w:tcPr>
          <w:p>
            <w:r>
              <w:t>Character</w:t>
            </w:r>
          </w:p>
        </w:tc>
        <w:tc>
          <w:tcPr>
            <w:tcW w:type="dxa" w:w="3135"/>
          </w:tcPr>
          <w:p>
            <w:r>
              <w:t>4.0/10</w:t>
            </w:r>
          </w:p>
        </w:tc>
        <w:tc>
          <w:tcPr>
            <w:tcW w:type="dxa" w:w="3135"/>
          </w:tcPr>
          <w:p>
            <w:r>
              <w:t>Moderate character risk. Additional due diligence needed.</w:t>
            </w:r>
          </w:p>
        </w:tc>
      </w:tr>
      <w:tr>
        <w:tc>
          <w:tcPr>
            <w:tcW w:type="dxa" w:w="3135"/>
          </w:tcPr>
          <w:p>
            <w:r>
              <w:t>Capacity</w:t>
            </w:r>
          </w:p>
        </w:tc>
        <w:tc>
          <w:tcPr>
            <w:tcW w:type="dxa" w:w="3135"/>
          </w:tcPr>
          <w:p>
            <w:r>
              <w:t>5.5/10</w:t>
            </w:r>
          </w:p>
        </w:tc>
        <w:tc>
          <w:tcPr>
            <w:tcW w:type="dxa" w:w="3135"/>
          </w:tcPr>
          <w:p>
            <w: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r>
              <w:t>Capital</w:t>
            </w:r>
          </w:p>
        </w:tc>
        <w:tc>
          <w:tcPr>
            <w:tcW w:type="dxa" w:w="3135"/>
          </w:tcPr>
          <w:p>
            <w:r>
              <w:t>7.5/10</w:t>
            </w:r>
          </w:p>
        </w:tc>
        <w:tc>
          <w:tcPr>
            <w:tcW w:type="dxa" w:w="3135"/>
          </w:tcPr>
          <w:p>
            <w: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r>
              <w:t>Collateral</w:t>
            </w:r>
          </w:p>
        </w:tc>
        <w:tc>
          <w:tcPr>
            <w:tcW w:type="dxa" w:w="3135"/>
          </w:tcPr>
          <w:p>
            <w:r>
              <w:t>6.0/10</w:t>
            </w:r>
          </w:p>
        </w:tc>
        <w:tc>
          <w:tcPr>
            <w:tcW w:type="dxa" w:w="3135"/>
          </w:tcPr>
          <w:p>
            <w:r>
              <w:t>Adequate collateral. Loan well-secured.</w:t>
            </w:r>
          </w:p>
        </w:tc>
      </w:tr>
      <w:tr>
        <w:tc>
          <w:tcPr>
            <w:tcW w:type="dxa" w:w="3135"/>
          </w:tcPr>
          <w:p>
            <w:r>
              <w:t>Conditions</w:t>
            </w:r>
          </w:p>
        </w:tc>
        <w:tc>
          <w:tcPr>
            <w:tcW w:type="dxa" w:w="3135"/>
          </w:tcPr>
          <w:p>
            <w:r>
              <w:t>7.0/10</w:t>
            </w:r>
          </w:p>
        </w:tc>
        <w:tc>
          <w:tcPr>
            <w:tcW w:type="dxa" w:w="3135"/>
          </w:tcPr>
          <w:p>
            <w:r>
              <w:t>Neutral conditions. Standard sector risk.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OVERALL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5.75/10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Weighted average</w:t>
            </w:r>
          </w:p>
        </w:tc>
      </w:tr>
    </w:tbl>
    <w:p/>
    <w:p>
      <w:pPr>
        <w:pStyle w:val="Heading1"/>
      </w:pPr>
      <w:r>
        <w:rPr>
          <w:color w:val="1A237E"/>
        </w:rPr>
        <w:t>5.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3135"/>
          </w:tcPr>
          <w:p>
            <w:r>
              <w:t>EMI Bounce Count</w:t>
            </w:r>
          </w:p>
        </w:tc>
        <w:tc>
          <w:tcPr>
            <w:tcW w:type="dxa" w:w="3135"/>
          </w:tcPr>
          <w:p>
            <w:r>
              <w:t>2.3062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GST Filing Regularity</w:t>
            </w:r>
          </w:p>
        </w:tc>
        <w:tc>
          <w:tcPr>
            <w:tcW w:type="dxa" w:w="3135"/>
          </w:tcPr>
          <w:p>
            <w:r>
              <w:t>1.9497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Active Litigation</w:t>
            </w:r>
          </w:p>
        </w:tc>
        <w:tc>
          <w:tcPr>
            <w:tcW w:type="dxa" w:w="3135"/>
          </w:tcPr>
          <w:p>
            <w:r>
              <w:t>1.9101</w:t>
            </w:r>
          </w:p>
        </w:tc>
        <w:tc>
          <w:tcPr>
            <w:tcW w:type="dxa" w:w="3135"/>
          </w:tcPr>
          <w:p>
            <w:r>
              <w:t>decreases risk</w:t>
            </w:r>
          </w:p>
        </w:tc>
      </w:tr>
      <w:tr>
        <w:tc>
          <w:tcPr>
            <w:tcW w:type="dxa" w:w="3135"/>
          </w:tcPr>
          <w:p>
            <w:r>
              <w:t>Promoter Integrity Score</w:t>
            </w:r>
          </w:p>
        </w:tc>
        <w:tc>
          <w:tcPr>
            <w:tcW w:type="dxa" w:w="3135"/>
          </w:tcPr>
          <w:p>
            <w:r>
              <w:t>0.7179</w:t>
            </w:r>
          </w:p>
        </w:tc>
        <w:tc>
          <w:tcPr>
            <w:tcW w:type="dxa" w:w="3135"/>
          </w:tcPr>
          <w:p>
            <w:r>
              <w:t>increases risk</w:t>
            </w:r>
          </w:p>
        </w:tc>
      </w:tr>
    </w:tbl>
    <w:p/>
    <w:p>
      <w:pPr>
        <w:pStyle w:val="Heading1"/>
      </w:pPr>
      <w:r>
        <w:rPr>
          <w:color w:val="1A237E"/>
        </w:rPr>
        <w:t>6. EARLY WARNING SIGNALS</w:t>
      </w:r>
    </w:p>
    <w:p>
      <w:r>
        <w:t>• Significant increase in ITC claims or GST payments</w:t>
      </w:r>
    </w:p>
    <w:p>
      <w:r>
        <w:t>• Deterioration in bank statement credits or increase in debits</w:t>
      </w:r>
    </w:p>
    <w:p>
      <w:r>
        <w:t>• Negative news or reputational risks affecting the company's operations</w:t>
      </w:r>
    </w:p>
    <w:p/>
    <w:p>
      <w:pPr>
        <w:pStyle w:val="Heading1"/>
      </w:pPr>
      <w:r>
        <w:rPr>
          <w:color w:val="1A237E"/>
        </w:rPr>
        <w:t>7. EXTERNAL RESEARCH</w:t>
      </w:r>
    </w:p>
    <w:p>
      <w:r>
        <w:t>News Risk Score: 0.5/10 | Negative Articles: 1 | Litigation: No</w:t>
      </w:r>
    </w:p>
    <w:p>
      <w:r>
        <w:t>Found 20 articles: 1 negative, 19 positive. News risk score: 0.5/10. Top negative: 'Assam : 28 - Year - Old Woman Gang - Raped And Robbed ; One Arrested' No litigation found. No MCA charges. No RBI/SEBI actions.</w:t>
      </w:r>
    </w:p>
    <w:p>
      <w:r>
        <w:rPr>
          <w:b/>
        </w:rPr>
        <w:t>Negative News:</w:t>
      </w:r>
    </w:p>
    <w:p>
      <w:r>
        <w:t>• Assam : 28 - Year - Old Woman Gang - Raped And Robbed ; One Arrested (20260225)</w:t>
      </w:r>
    </w:p>
    <w:p/>
    <w:p>
      <w:pPr>
        <w:pStyle w:val="Heading1"/>
      </w:pPr>
      <w:r>
        <w:rPr>
          <w:color w:val="1A237E"/>
        </w:rPr>
        <w:t>8. RECOMMENDATION</w:t>
      </w:r>
    </w:p>
    <w:p>
      <w:r>
        <w:rPr>
          <w:b/>
          <w:sz w:val="28"/>
        </w:rPr>
        <w:t>DECISION: APPROVE</w:t>
      </w:r>
    </w:p>
    <w:p>
      <w:r>
        <w:t>Decisive Factor: The significant ITC discrepancy detected between GSTR-2A and GSTR-3B is the single biggest reason for the conditional approval decision, as it raises concerns about potential tax evasion or ITC manipulation.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Generated by Intelli-Credit AI Engine | Intelli-Credit Bank | Internal Use Only | 07-03-2026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