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N/A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0.038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15.24 Lakhs  (Rs. 1,524,183)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8.8%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Rs.15.24 Lakhs</w:t>
      </w:r>
    </w:p>
    <w:p>
      <w:r>
        <w:t>RATE: 8.80% per annum</w:t>
      </w:r>
    </w:p>
    <w:p>
      <w:r>
        <w:t>REASONING CHAIN:</w:t>
      </w:r>
    </w:p>
    <w:p>
      <w:r>
        <w:t>1. GST Analysis      -&gt; Significant ITC discrepancy detected with a variance of 76.37% -&gt; increases risk</w:t>
      </w:r>
    </w:p>
    <w:p>
      <w:r>
        <w:t>2. Bank Statements   -&gt; Healthy bank statement with no EMI bounces and a decent average monthly balance -&gt; decreases risk</w:t>
      </w:r>
    </w:p>
    <w:p>
      <w:r>
        <w:t>3. External Research -&gt; No significant news coverage, litigation, or MCA charges found -&gt; decreases risk</w:t>
      </w:r>
    </w:p>
    <w:p>
      <w:r>
        <w:t>4. Primary Inputs    -&gt; Officer observations indicate a debt/equity ratio of 1.5 and a promoter score of 7/10 -&gt; neutral impact on final score</w:t>
      </w:r>
    </w:p>
    <w:p>
      <w:r>
        <w:t>DECISIVE FACTOR: The significant ITC discrepancy detected in the GST analysis is the single biggest reason for the conditional approval decision, as it raises concerns about potential tax evasion or manipulation.</w:t>
      </w:r>
    </w:p>
    <w:p>
      <w:r>
        <w:t>EARLY WARNING SIGNALS:</w:t>
      </w:r>
    </w:p>
    <w:p>
      <w:r>
        <w:t>- Any further discrepancies in GST filings or ITC claims</w:t>
      </w:r>
    </w:p>
    <w:p>
      <w:r>
        <w:t>- Significant changes in bank statement patterns or credit behavior</w:t>
      </w:r>
    </w:p>
    <w:p>
      <w:r>
        <w:t>- Adverse news coverage or litigation related to the company</w:t>
      </w:r>
    </w:p>
    <w:p>
      <w:r>
        <w:t>LOAN CONDITIONS:</w:t>
      </w:r>
    </w:p>
    <w:p>
      <w:r>
        <w:t>- The company must provide a detailed explanation for the ITC discrepancy and rectify it before loan disbursement</w:t>
      </w:r>
    </w:p>
    <w:p>
      <w:r>
        <w:t>- The company must agree to regular GST audits and verification of GSTN portal data to ensure compliance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6.5/10</w:t>
            </w:r>
          </w:p>
        </w:tc>
        <w:tc>
          <w:tcPr>
            <w:tcW w:type="dxa" w:w="3135"/>
          </w:tcPr>
          <w:p>
            <w: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6.98/10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2.3960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1.9036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1.8664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GSTR 2A vs 3B Variance</w:t>
            </w:r>
          </w:p>
        </w:tc>
        <w:tc>
          <w:tcPr>
            <w:tcW w:type="dxa" w:w="3135"/>
          </w:tcPr>
          <w:p>
            <w:r>
              <w:t>1.2159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Any further discrepancies in GST filings or ITC claims</w:t>
      </w:r>
    </w:p>
    <w:p>
      <w:r>
        <w:t>• Significant changes in bank statement patterns or credit behavior</w:t>
      </w:r>
    </w:p>
    <w:p>
      <w:r>
        <w:t>• Adverse news coverage or litigation related to the company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0.0/10 | Negative Articles: 0 | Litigation: No</w:t>
      </w:r>
    </w:p>
    <w:p>
      <w:r>
        <w:t>No significant news coverage found. No litigation found. No MCA charges. No RBI/SEBI actions.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in the GST analysis is the single biggest reason for the conditional approval decision, as it raises concerns about potential tax evasion or manipulation.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