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757575"/>
          <w:sz w:val="20"/>
        </w:rPr>
        <w:t>Intelli-Credit Bank</w:t>
      </w:r>
    </w:p>
    <w:p>
      <w:pPr>
        <w:jc w:val="center"/>
      </w:pPr>
      <w:r>
        <w:rPr>
          <w:b/>
          <w:color w:val="1A237E"/>
          <w:sz w:val="36"/>
        </w:rPr>
        <w:t>Credit Appraisal Memorandum</w:t>
      </w:r>
    </w:p>
    <w:p>
      <w:pPr>
        <w:jc w:val="center"/>
      </w:pPr>
      <w:r>
        <w:rPr>
          <w:color w:val="757575"/>
          <w:sz w:val="18"/>
        </w:rPr>
        <w:t>Generated: 07 March 2026 | Prepared by: Intelli-Credit AI Engine</w:t>
      </w:r>
    </w:p>
    <w:p/>
    <w:p>
      <w:pPr>
        <w:pStyle w:val="Heading1"/>
      </w:pPr>
      <w:r>
        <w:rPr>
          <w:color w:val="1A237E"/>
        </w:rPr>
        <w:t>1. EXECUTIVE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6236"/>
      </w:tblGrid>
      <w:tr>
        <w:tc>
          <w:tcPr>
            <w:tcW w:type="dxa" w:w="2835"/>
          </w:tcPr>
          <w:p>
            <w:r>
              <w:rPr>
                <w:b/>
              </w:rPr>
              <w:t>Company Name</w:t>
            </w:r>
          </w:p>
        </w:tc>
        <w:tc>
          <w:tcPr>
            <w:tcW w:type="dxa" w:w="6236"/>
          </w:tcPr>
          <w:p>
            <w:r>
              <w:t>Sunrise Apparels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GSTIN</w:t>
            </w:r>
          </w:p>
        </w:tc>
        <w:tc>
          <w:tcPr>
            <w:tcW w:type="dxa" w:w="6236"/>
          </w:tcPr>
          <w:p>
            <w:r>
              <w:t>N/A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Report Date</w:t>
            </w:r>
          </w:p>
        </w:tc>
        <w:tc>
          <w:tcPr>
            <w:tcW w:type="dxa" w:w="6236"/>
          </w:tcPr>
          <w:p>
            <w:r>
              <w:t>07-03-2026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AI Decision</w:t>
            </w:r>
          </w:p>
        </w:tc>
        <w:tc>
          <w:tcPr>
            <w:tcW w:type="dxa" w:w="6236"/>
          </w:tcPr>
          <w:p>
            <w:r>
              <w:t>APPROVE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Risk Category</w:t>
            </w:r>
          </w:p>
        </w:tc>
        <w:tc>
          <w:tcPr>
            <w:tcW w:type="dxa" w:w="6236"/>
          </w:tcPr>
          <w:p>
            <w:r>
              <w:t>LOW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Risk Score</w:t>
            </w:r>
          </w:p>
        </w:tc>
        <w:tc>
          <w:tcPr>
            <w:tcW w:type="dxa" w:w="6236"/>
          </w:tcPr>
          <w:p>
            <w:r>
              <w:t>0.011 / 1.000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Loan Limit</w:t>
            </w:r>
          </w:p>
        </w:tc>
        <w:tc>
          <w:tcPr>
            <w:tcW w:type="dxa" w:w="6236"/>
          </w:tcPr>
          <w:p>
            <w:r>
              <w:t>Rs. 15.45 Lakhs  (Rs. 1,545,144)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Interest Rate</w:t>
            </w:r>
          </w:p>
        </w:tc>
        <w:tc>
          <w:tcPr>
            <w:tcW w:type="dxa" w:w="6236"/>
          </w:tcPr>
          <w:p>
            <w:r>
              <w:t>8.59% p.a.</w:t>
            </w:r>
          </w:p>
        </w:tc>
      </w:tr>
    </w:tbl>
    <w:p/>
    <w:p>
      <w:pPr>
        <w:pStyle w:val="Heading1"/>
      </w:pPr>
      <w:r>
        <w:rPr>
          <w:color w:val="1A237E"/>
        </w:rPr>
        <w:t>2. DERIVED FINANCIAL RATIOS (auto-computed from documents)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6236"/>
      </w:tblGrid>
      <w:tr>
        <w:tc>
          <w:tcPr>
            <w:tcW w:type="dxa" w:w="2835"/>
          </w:tcPr>
          <w:p>
            <w:r>
              <w:rPr>
                <w:b/>
              </w:rPr>
              <w:t>Avg Monthly Balance</w:t>
            </w:r>
          </w:p>
        </w:tc>
        <w:tc>
          <w:tcPr>
            <w:tcW w:type="dxa" w:w="6236"/>
          </w:tcPr>
          <w:p>
            <w:r>
              <w:t>Rs. 4,285,600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Data Completeness</w:t>
            </w:r>
          </w:p>
        </w:tc>
        <w:tc>
          <w:tcPr>
            <w:tcW w:type="dxa" w:w="6236"/>
          </w:tcPr>
          <w:p>
            <w:r>
              <w:t>30%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Note 1</w:t>
            </w:r>
          </w:p>
        </w:tc>
        <w:tc>
          <w:tcPr>
            <w:tcW w:type="dxa" w:w="6236"/>
          </w:tcPr>
          <w:p>
            <w:r>
              <w:t>Only 30.0% of financial ratios could be auto-derived. Please ensure ITR and Bank Statement are uploaded.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Note 2</w:t>
            </w:r>
          </w:p>
        </w:tc>
        <w:tc>
          <w:tcPr>
            <w:tcW w:type="dxa" w:w="6236"/>
          </w:tcPr>
          <w:p>
            <w:r>
              <w:t>Net worth not found in ITR — officer must enter manually.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Note 3</w:t>
            </w:r>
          </w:p>
        </w:tc>
        <w:tc>
          <w:tcPr>
            <w:tcW w:type="dxa" w:w="6236"/>
          </w:tcPr>
          <w:p>
            <w:r>
              <w:t>D/E ratio could not be derived — debt or net worth missing.</w:t>
            </w:r>
          </w:p>
        </w:tc>
      </w:tr>
    </w:tbl>
    <w:p/>
    <w:p>
      <w:pPr>
        <w:pStyle w:val="Heading1"/>
      </w:pPr>
      <w:r>
        <w:rPr>
          <w:color w:val="1A237E"/>
        </w:rPr>
        <w:t>3. AI REASONING CHAIN</w:t>
      </w:r>
    </w:p>
    <w:p>
      <w:r>
        <w:t>DECISION: Conditional Approval</w:t>
      </w:r>
    </w:p>
    <w:p>
      <w:r>
        <w:t>LIMIT: Rs.15.45 Lakhs</w:t>
      </w:r>
    </w:p>
    <w:p>
      <w:r>
        <w:t>RATE: 8.59% per annum</w:t>
      </w:r>
    </w:p>
    <w:p>
      <w:r>
        <w:t>REASONING CHAIN:</w:t>
      </w:r>
    </w:p>
    <w:p>
      <w:r>
        <w:t>1. GST Analysis      -&gt; Significant ITC discrepancy detected with a 60.58% variance between GSTR-2A and GSTR-3B, indicating potential tax evasion or misreporting -&gt; increases risk</w:t>
      </w:r>
    </w:p>
    <w:p>
      <w:r>
        <w:t>2. Bank Statements   -&gt; Healthy bank statement with no EMI bounces and a stable average monthly balance, indicating good cash flow management -&gt; decreases risk</w:t>
      </w:r>
    </w:p>
    <w:p>
      <w:r>
        <w:t>3. External Research -&gt; No negative news, litigation, or regulatory actions found, indicating a clean external reputation -&gt; decreases risk</w:t>
      </w:r>
    </w:p>
    <w:p>
      <w:r>
        <w:t>4. Primary Inputs    -&gt; Officer observations indicate a moderate debt-equity ratio, adequate collateral coverage, and a reasonable promoter score -&gt; neutral impact on final score</w:t>
      </w:r>
    </w:p>
    <w:p>
      <w:r>
        <w:t>DECISIVE FACTOR: The significant ITC discrepancy detected in the GST analysis is the primary concern, requiring a conditional approval with additional verification and audit requirements.</w:t>
      </w:r>
    </w:p>
    <w:p>
      <w:r>
        <w:t>EARLY WARNING SIGNALS:</w:t>
      </w:r>
    </w:p>
    <w:p>
      <w:r>
        <w:t>- Any further discrepancies in GST filings or tax payments</w:t>
      </w:r>
    </w:p>
    <w:p>
      <w:r>
        <w:t>- Deterioration in bank statement health, such as increased EMI bounces or declining average monthly balance</w:t>
      </w:r>
    </w:p>
    <w:p>
      <w:r>
        <w:t>- Adverse news or regulatory actions against the company</w:t>
      </w:r>
    </w:p>
    <w:p>
      <w:r>
        <w:t>LOAN CONDITIONS:</w:t>
      </w:r>
    </w:p>
    <w:p>
      <w:r>
        <w:t>- Mandatory GST audit and verification of GSTN portal before loan disbursement</w:t>
      </w:r>
    </w:p>
    <w:p>
      <w:r>
        <w:t>- Quarterly review of bank statements and GST filings to ensure compliance and accuracy</w:t>
      </w:r>
    </w:p>
    <w:p>
      <w:r>
        <w:t>- Regular monitoring of promoter score and debt-equity ratio to ensure stability and sustainability</w:t>
      </w:r>
    </w:p>
    <w:p/>
    <w:p>
      <w:pPr>
        <w:pStyle w:val="Heading1"/>
      </w:pPr>
      <w:r>
        <w:rPr>
          <w:color w:val="1A237E"/>
        </w:rPr>
        <w:t>4. FIVE Cs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C</w:t>
            </w:r>
          </w:p>
        </w:tc>
        <w:tc>
          <w:tcPr>
            <w:tcW w:type="dxa" w:w="3135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Summary</w:t>
            </w:r>
          </w:p>
        </w:tc>
      </w:tr>
      <w:tr>
        <w:tc>
          <w:tcPr>
            <w:tcW w:type="dxa" w:w="3135"/>
          </w:tcPr>
          <w:p>
            <w:r>
              <w:t>Character</w:t>
            </w:r>
          </w:p>
        </w:tc>
        <w:tc>
          <w:tcPr>
            <w:tcW w:type="dxa" w:w="3135"/>
          </w:tcPr>
          <w:p>
            <w:r>
              <w:t>6.5/10</w:t>
            </w:r>
          </w:p>
        </w:tc>
        <w:tc>
          <w:tcPr>
            <w:tcW w:type="dxa" w:w="3135"/>
          </w:tcPr>
          <w:p>
            <w:r>
              <w:t>Good character with minor concerns. Monitor regularly.</w:t>
            </w:r>
          </w:p>
        </w:tc>
      </w:tr>
      <w:tr>
        <w:tc>
          <w:tcPr>
            <w:tcW w:type="dxa" w:w="3135"/>
          </w:tcPr>
          <w:p>
            <w:r>
              <w:t>Capacity</w:t>
            </w:r>
          </w:p>
        </w:tc>
        <w:tc>
          <w:tcPr>
            <w:tcW w:type="dxa" w:w="3135"/>
          </w:tcPr>
          <w:p>
            <w:r>
              <w:t>7.5/10</w:t>
            </w:r>
          </w:p>
        </w:tc>
        <w:tc>
          <w:tcPr>
            <w:tcW w:type="dxa" w:w="3135"/>
          </w:tcPr>
          <w:p>
            <w:r>
              <w:t>Good capacity with adequate cash flows to service debt.</w:t>
            </w:r>
          </w:p>
        </w:tc>
      </w:tr>
      <w:tr>
        <w:tc>
          <w:tcPr>
            <w:tcW w:type="dxa" w:w="3135"/>
          </w:tcPr>
          <w:p>
            <w:r>
              <w:t>Capital</w:t>
            </w:r>
          </w:p>
        </w:tc>
        <w:tc>
          <w:tcPr>
            <w:tcW w:type="dxa" w:w="3135"/>
          </w:tcPr>
          <w:p>
            <w:r>
              <w:t>7.5/10</w:t>
            </w:r>
          </w:p>
        </w:tc>
        <w:tc>
          <w:tcPr>
            <w:tcW w:type="dxa" w:w="3135"/>
          </w:tcPr>
          <w:p>
            <w:r>
              <w:t>Adequate capital. Leverage within acceptable limits.</w:t>
            </w:r>
          </w:p>
        </w:tc>
      </w:tr>
      <w:tr>
        <w:tc>
          <w:tcPr>
            <w:tcW w:type="dxa" w:w="3135"/>
          </w:tcPr>
          <w:p>
            <w:r>
              <w:t>Collateral</w:t>
            </w:r>
          </w:p>
        </w:tc>
        <w:tc>
          <w:tcPr>
            <w:tcW w:type="dxa" w:w="3135"/>
          </w:tcPr>
          <w:p>
            <w:r>
              <w:t>6.0/10</w:t>
            </w:r>
          </w:p>
        </w:tc>
        <w:tc>
          <w:tcPr>
            <w:tcW w:type="dxa" w:w="3135"/>
          </w:tcPr>
          <w:p>
            <w:r>
              <w:t>Adequate collateral. Loan well-secured.</w:t>
            </w:r>
          </w:p>
        </w:tc>
      </w:tr>
      <w:tr>
        <w:tc>
          <w:tcPr>
            <w:tcW w:type="dxa" w:w="3135"/>
          </w:tcPr>
          <w:p>
            <w:r>
              <w:t>Conditions</w:t>
            </w:r>
          </w:p>
        </w:tc>
        <w:tc>
          <w:tcPr>
            <w:tcW w:type="dxa" w:w="3135"/>
          </w:tcPr>
          <w:p>
            <w:r>
              <w:t>7.0/10</w:t>
            </w:r>
          </w:p>
        </w:tc>
        <w:tc>
          <w:tcPr>
            <w:tcW w:type="dxa" w:w="3135"/>
          </w:tcPr>
          <w:p>
            <w:r>
              <w:t>Neutral conditions. Standard sector risk.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OVERALL</w:t>
            </w:r>
          </w:p>
        </w:tc>
        <w:tc>
          <w:tcPr>
            <w:tcW w:type="dxa" w:w="3135"/>
          </w:tcPr>
          <w:p>
            <w:r>
              <w:rPr>
                <w:b/>
              </w:rPr>
              <w:t>6.98/10</w:t>
            </w:r>
          </w:p>
        </w:tc>
        <w:tc>
          <w:tcPr>
            <w:tcW w:type="dxa" w:w="3135"/>
          </w:tcPr>
          <w:p>
            <w:r>
              <w:rPr>
                <w:b/>
              </w:rPr>
              <w:t>Weighted average</w:t>
            </w:r>
          </w:p>
        </w:tc>
      </w:tr>
    </w:tbl>
    <w:p/>
    <w:p>
      <w:pPr>
        <w:pStyle w:val="Heading1"/>
      </w:pPr>
      <w:r>
        <w:rPr>
          <w:color w:val="1A237E"/>
        </w:rPr>
        <w:t>5. AI RISK DRIVERS (SHAP)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3135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Direction</w:t>
            </w:r>
          </w:p>
        </w:tc>
      </w:tr>
      <w:tr>
        <w:tc>
          <w:tcPr>
            <w:tcW w:type="dxa" w:w="3135"/>
          </w:tcPr>
          <w:p>
            <w:r>
              <w:t>EMI Bounce Count</w:t>
            </w:r>
          </w:p>
        </w:tc>
        <w:tc>
          <w:tcPr>
            <w:tcW w:type="dxa" w:w="3135"/>
          </w:tcPr>
          <w:p>
            <w:r>
              <w:t>2.3062</w:t>
            </w:r>
          </w:p>
        </w:tc>
        <w:tc>
          <w:tcPr>
            <w:tcW w:type="dxa" w:w="3135"/>
          </w:tcPr>
          <w:p>
            <w:r>
              <w:t>decreases risk</w:t>
            </w:r>
          </w:p>
        </w:tc>
      </w:tr>
      <w:tr>
        <w:tc>
          <w:tcPr>
            <w:tcW w:type="dxa" w:w="3135"/>
          </w:tcPr>
          <w:p>
            <w:r>
              <w:t>GST Filing Regularity</w:t>
            </w:r>
          </w:p>
        </w:tc>
        <w:tc>
          <w:tcPr>
            <w:tcW w:type="dxa" w:w="3135"/>
          </w:tcPr>
          <w:p>
            <w:r>
              <w:t>1.9497</w:t>
            </w:r>
          </w:p>
        </w:tc>
        <w:tc>
          <w:tcPr>
            <w:tcW w:type="dxa" w:w="3135"/>
          </w:tcPr>
          <w:p>
            <w:r>
              <w:t>decreases risk</w:t>
            </w:r>
          </w:p>
        </w:tc>
      </w:tr>
      <w:tr>
        <w:tc>
          <w:tcPr>
            <w:tcW w:type="dxa" w:w="3135"/>
          </w:tcPr>
          <w:p>
            <w:r>
              <w:t>Active Litigation</w:t>
            </w:r>
          </w:p>
        </w:tc>
        <w:tc>
          <w:tcPr>
            <w:tcW w:type="dxa" w:w="3135"/>
          </w:tcPr>
          <w:p>
            <w:r>
              <w:t>1.9101</w:t>
            </w:r>
          </w:p>
        </w:tc>
        <w:tc>
          <w:tcPr>
            <w:tcW w:type="dxa" w:w="3135"/>
          </w:tcPr>
          <w:p>
            <w:r>
              <w:t>decreases risk</w:t>
            </w:r>
          </w:p>
        </w:tc>
      </w:tr>
      <w:tr>
        <w:tc>
          <w:tcPr>
            <w:tcW w:type="dxa" w:w="3135"/>
          </w:tcPr>
          <w:p>
            <w:r>
              <w:t>Promoter Integrity Score</w:t>
            </w:r>
          </w:p>
        </w:tc>
        <w:tc>
          <w:tcPr>
            <w:tcW w:type="dxa" w:w="3135"/>
          </w:tcPr>
          <w:p>
            <w:r>
              <w:t>0.7179</w:t>
            </w:r>
          </w:p>
        </w:tc>
        <w:tc>
          <w:tcPr>
            <w:tcW w:type="dxa" w:w="3135"/>
          </w:tcPr>
          <w:p>
            <w:r>
              <w:t>increases risk</w:t>
            </w:r>
          </w:p>
        </w:tc>
      </w:tr>
    </w:tbl>
    <w:p/>
    <w:p>
      <w:pPr>
        <w:pStyle w:val="Heading1"/>
      </w:pPr>
      <w:r>
        <w:rPr>
          <w:color w:val="1A237E"/>
        </w:rPr>
        <w:t>6. EARLY WARNING SIGNALS</w:t>
      </w:r>
    </w:p>
    <w:p>
      <w:r>
        <w:t>• Any further discrepancies in GST filings or tax payments</w:t>
      </w:r>
    </w:p>
    <w:p>
      <w:r>
        <w:t>• Deterioration in bank statement health, such as increased EMI bounces or declining average monthly balance</w:t>
      </w:r>
    </w:p>
    <w:p>
      <w:r>
        <w:t>• Adverse news or regulatory actions against the company</w:t>
      </w:r>
    </w:p>
    <w:p/>
    <w:p>
      <w:pPr>
        <w:pStyle w:val="Heading1"/>
      </w:pPr>
      <w:r>
        <w:rPr>
          <w:color w:val="1A237E"/>
        </w:rPr>
        <w:t>7. EXTERNAL RESEARCH</w:t>
      </w:r>
    </w:p>
    <w:p>
      <w:r>
        <w:t>News Risk Score: 0.0/10 | Negative Articles: 0 | Litigation: No</w:t>
      </w:r>
    </w:p>
    <w:p>
      <w:r>
        <w:t>No significant news coverage found. No litigation found. No MCA charges. No RBI/SEBI actions.</w:t>
      </w:r>
    </w:p>
    <w:p/>
    <w:p>
      <w:pPr>
        <w:pStyle w:val="Heading1"/>
      </w:pPr>
      <w:r>
        <w:rPr>
          <w:color w:val="1A237E"/>
        </w:rPr>
        <w:t>8. RECOMMENDATION</w:t>
      </w:r>
    </w:p>
    <w:p>
      <w:r>
        <w:rPr>
          <w:b/>
          <w:sz w:val="28"/>
        </w:rPr>
        <w:t>DECISION: APPROVE</w:t>
      </w:r>
    </w:p>
    <w:p>
      <w:r>
        <w:t>Decisive Factor: The significant ITC discrepancy detected in the GST analysis is the primary concern, requiring a conditional approval with additional verification and audit requirements.</w:t>
      </w:r>
    </w:p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57575"/>
        <w:sz w:val="16"/>
      </w:rPr>
      <w:t>Generated by Intelli-Credit AI Engine | Intelli-Credit Bank | Internal Use Only | 07-03-2026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