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757575"/>
          <w:sz w:val="20"/>
        </w:rPr>
        <w:t>Intelli-Credit Bank</w:t>
      </w:r>
    </w:p>
    <w:p>
      <w:pPr>
        <w:jc w:val="center"/>
      </w:pPr>
      <w:r>
        <w:rPr>
          <w:b/>
          <w:color w:val="1A237E"/>
          <w:sz w:val="36"/>
        </w:rPr>
        <w:t>Credit Appraisal Memorandum</w:t>
      </w:r>
    </w:p>
    <w:p>
      <w:pPr>
        <w:jc w:val="center"/>
      </w:pPr>
      <w:r>
        <w:rPr>
          <w:color w:val="757575"/>
          <w:sz w:val="18"/>
        </w:rPr>
        <w:t>Generated: 07 March 2026 | Prepared by: Intelli-Credit AI Engine</w:t>
      </w:r>
    </w:p>
    <w:p/>
    <w:p>
      <w:pPr>
        <w:pStyle w:val="Heading1"/>
      </w:pPr>
      <w:r>
        <w:rPr>
          <w:color w:val="1A237E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6236"/>
          </w:tcPr>
          <w:p>
            <w:r>
              <w:t>Sunrise Apparels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GSTIN</w:t>
            </w:r>
          </w:p>
        </w:tc>
        <w:tc>
          <w:tcPr>
            <w:tcW w:type="dxa" w:w="6236"/>
          </w:tcPr>
          <w:p>
            <w:r>
              <w:t>N/A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6236"/>
          </w:tcPr>
          <w:p>
            <w:r>
              <w:t>07-03-2026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AI Decision</w:t>
            </w:r>
          </w:p>
        </w:tc>
        <w:tc>
          <w:tcPr>
            <w:tcW w:type="dxa" w:w="6236"/>
          </w:tcPr>
          <w:p>
            <w:r>
              <w:t>APPROVE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6236"/>
          </w:tcPr>
          <w:p>
            <w:r>
              <w:t>LOW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6236"/>
          </w:tcPr>
          <w:p>
            <w:r>
              <w:t>0.003 / 1.000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Loan Limit</w:t>
            </w:r>
          </w:p>
        </w:tc>
        <w:tc>
          <w:tcPr>
            <w:tcW w:type="dxa" w:w="6236"/>
          </w:tcPr>
          <w:p>
            <w:r>
              <w:t>Rs. 15.51 Lakhs  (Rs. 1,551,226)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6236"/>
          </w:tcPr>
          <w:p>
            <w:r>
              <w:t>8.53% p.a.</w:t>
            </w:r>
          </w:p>
        </w:tc>
      </w:tr>
    </w:tbl>
    <w:p/>
    <w:p>
      <w:pPr>
        <w:pStyle w:val="Heading1"/>
      </w:pPr>
      <w:r>
        <w:rPr>
          <w:color w:val="1A237E"/>
        </w:rPr>
        <w:t>2. DERIVED FINANCIAL RATIOS (auto-computed from documents)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Avg Monthly Balance</w:t>
            </w:r>
          </w:p>
        </w:tc>
        <w:tc>
          <w:tcPr>
            <w:tcW w:type="dxa" w:w="6236"/>
          </w:tcPr>
          <w:p>
            <w:r>
              <w:t>Rs. 4,285,600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Data Completeness</w:t>
            </w:r>
          </w:p>
        </w:tc>
        <w:tc>
          <w:tcPr>
            <w:tcW w:type="dxa" w:w="6236"/>
          </w:tcPr>
          <w:p>
            <w:r>
              <w:t>30%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1</w:t>
            </w:r>
          </w:p>
        </w:tc>
        <w:tc>
          <w:tcPr>
            <w:tcW w:type="dxa" w:w="6236"/>
          </w:tcPr>
          <w:p>
            <w:r>
              <w:t>Only 30.0% of financial ratios could be auto-derived. Please ensure ITR and Bank Statement are uploaded.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2</w:t>
            </w:r>
          </w:p>
        </w:tc>
        <w:tc>
          <w:tcPr>
            <w:tcW w:type="dxa" w:w="6236"/>
          </w:tcPr>
          <w:p>
            <w:r>
              <w:t>Net worth not found in ITR — officer must enter manually.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3</w:t>
            </w:r>
          </w:p>
        </w:tc>
        <w:tc>
          <w:tcPr>
            <w:tcW w:type="dxa" w:w="6236"/>
          </w:tcPr>
          <w:p>
            <w:r>
              <w:t>D/E ratio could not be derived — debt or net worth missing.</w:t>
            </w:r>
          </w:p>
        </w:tc>
      </w:tr>
    </w:tbl>
    <w:p/>
    <w:p>
      <w:pPr>
        <w:pStyle w:val="Heading1"/>
      </w:pPr>
      <w:r>
        <w:rPr>
          <w:color w:val="1A237E"/>
        </w:rPr>
        <w:t>3. AI REASONING CHAIN</w:t>
      </w:r>
    </w:p>
    <w:p>
      <w:r>
        <w:t>DECISION: Approve</w:t>
      </w:r>
    </w:p>
    <w:p>
      <w:r>
        <w:t>LIMIT: Rs.15.51 Lakhs</w:t>
      </w:r>
    </w:p>
    <w:p>
      <w:r>
        <w:t>RATE: 8.53% per annum</w:t>
      </w:r>
    </w:p>
    <w:p>
      <w:r>
        <w:t>REASONING CHAIN:</w:t>
      </w:r>
    </w:p>
    <w:p>
      <w:r>
        <w:t>1. GST Analysis      -&gt; No mismatches found, but GSTR-2A turnover is zero/missing, which may indicate incomplete data -&gt; increases risk</w:t>
      </w:r>
    </w:p>
    <w:p>
      <w:r>
        <w:t>2. Bank Statements   -&gt; Healthy credit and debit transactions, with a stable average monthly balance -&gt; decreases risk</w:t>
      </w:r>
    </w:p>
    <w:p>
      <w:r>
        <w:t>3. External Research -&gt; No negative news, litigation, or regulatory actions found -&gt; decreases risk</w:t>
      </w:r>
    </w:p>
    <w:p>
      <w:r>
        <w:t>4. Primary Inputs    -&gt; Officer observations indicate a reasonable debt/equity ratio, collateral coverage, and promoter score -&gt; decreases risk</w:t>
      </w:r>
    </w:p>
    <w:p>
      <w:r>
        <w:t>DECISIVE FACTOR: The company's healthy bank statement and lack of negative external research outweigh the incomplete GST data, leading to an approval decision.</w:t>
      </w:r>
    </w:p>
    <w:p>
      <w:r>
        <w:t>EARLY WARNING SIGNALS:</w:t>
      </w:r>
    </w:p>
    <w:p>
      <w:r>
        <w:t>- Incomplete GST data and potential for ITC manipulation</w:t>
      </w:r>
    </w:p>
    <w:p>
      <w:r>
        <w:t>- Dependence on a few large customers for payments</w:t>
      </w:r>
    </w:p>
    <w:p>
      <w:r>
        <w:t>- Potential for sector-specific risks in the apparel industry</w:t>
      </w:r>
    </w:p>
    <w:p>
      <w:r>
        <w:t>LOAN CONDITIONS:</w:t>
      </w:r>
    </w:p>
    <w:p>
      <w:r>
        <w:t>- Regular submission of GST returns and reconciliation statements</w:t>
      </w:r>
    </w:p>
    <w:p>
      <w:r>
        <w:t>- Maintenance of a minimum average monthly balance of Rs. 4,285,600</w:t>
      </w:r>
    </w:p>
    <w:p>
      <w:r>
        <w:t>- Quarterly review of financial statements and performance metrics</w:t>
      </w:r>
    </w:p>
    <w:p/>
    <w:p>
      <w:pPr>
        <w:pStyle w:val="Heading1"/>
      </w:pPr>
      <w:r>
        <w:rPr>
          <w:color w:val="1A237E"/>
        </w:rPr>
        <w:t>4. FIVE Cs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35"/>
          </w:tcPr>
          <w:p>
            <w:r>
              <w:t>Character</w:t>
            </w:r>
          </w:p>
        </w:tc>
        <w:tc>
          <w:tcPr>
            <w:tcW w:type="dxa" w:w="3135"/>
          </w:tcPr>
          <w:p>
            <w:r>
              <w:t>9.0/10</w:t>
            </w:r>
          </w:p>
        </w:tc>
        <w:tc>
          <w:tcPr>
            <w:tcW w:type="dxa" w:w="3135"/>
          </w:tcPr>
          <w:p>
            <w: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r>
              <w:t>Capacity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Good capacity with adequate cash flows to service debt.</w:t>
            </w:r>
          </w:p>
        </w:tc>
      </w:tr>
      <w:tr>
        <w:tc>
          <w:tcPr>
            <w:tcW w:type="dxa" w:w="3135"/>
          </w:tcPr>
          <w:p>
            <w:r>
              <w:t>Capital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Adequate capital. Leverage within acceptable limits.</w:t>
            </w:r>
          </w:p>
        </w:tc>
      </w:tr>
      <w:tr>
        <w:tc>
          <w:tcPr>
            <w:tcW w:type="dxa" w:w="3135"/>
          </w:tcPr>
          <w:p>
            <w:r>
              <w:t>Collateral</w:t>
            </w:r>
          </w:p>
        </w:tc>
        <w:tc>
          <w:tcPr>
            <w:tcW w:type="dxa" w:w="3135"/>
          </w:tcPr>
          <w:p>
            <w:r>
              <w:t>6.0/10</w:t>
            </w:r>
          </w:p>
        </w:tc>
        <w:tc>
          <w:tcPr>
            <w:tcW w:type="dxa" w:w="3135"/>
          </w:tcPr>
          <w:p>
            <w:r>
              <w:t>Adequate collateral. Loan well-secured.</w:t>
            </w:r>
          </w:p>
        </w:tc>
      </w:tr>
      <w:tr>
        <w:tc>
          <w:tcPr>
            <w:tcW w:type="dxa" w:w="3135"/>
          </w:tcPr>
          <w:p>
            <w:r>
              <w:t>Conditions</w:t>
            </w:r>
          </w:p>
        </w:tc>
        <w:tc>
          <w:tcPr>
            <w:tcW w:type="dxa" w:w="3135"/>
          </w:tcPr>
          <w:p>
            <w:r>
              <w:t>7.0/10</w:t>
            </w:r>
          </w:p>
        </w:tc>
        <w:tc>
          <w:tcPr>
            <w:tcW w:type="dxa" w:w="3135"/>
          </w:tcPr>
          <w:p>
            <w:r>
              <w:t>Neutral conditions. Standard sector risk.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OVERALL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7.6/10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Weighted average</w:t>
            </w:r>
          </w:p>
        </w:tc>
      </w:tr>
    </w:tbl>
    <w:p/>
    <w:p>
      <w:pPr>
        <w:pStyle w:val="Heading1"/>
      </w:pPr>
      <w:r>
        <w:rPr>
          <w:color w:val="1A237E"/>
        </w:rPr>
        <w:t>5.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3135"/>
          </w:tcPr>
          <w:p>
            <w:r>
              <w:t>GSTR 2A vs 3B Variance</w:t>
            </w:r>
          </w:p>
        </w:tc>
        <w:tc>
          <w:tcPr>
            <w:tcW w:type="dxa" w:w="3135"/>
          </w:tcPr>
          <w:p>
            <w:r>
              <w:t>2.4551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GST Filing Regularity</w:t>
            </w:r>
          </w:p>
        </w:tc>
        <w:tc>
          <w:tcPr>
            <w:tcW w:type="dxa" w:w="3135"/>
          </w:tcPr>
          <w:p>
            <w:r>
              <w:t>1.6252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EMI Bounce Count</w:t>
            </w:r>
          </w:p>
        </w:tc>
        <w:tc>
          <w:tcPr>
            <w:tcW w:type="dxa" w:w="3135"/>
          </w:tcPr>
          <w:p>
            <w:r>
              <w:t>1.4942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Active Litigation</w:t>
            </w:r>
          </w:p>
        </w:tc>
        <w:tc>
          <w:tcPr>
            <w:tcW w:type="dxa" w:w="3135"/>
          </w:tcPr>
          <w:p>
            <w:r>
              <w:t>1.3737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</w:tbl>
    <w:p/>
    <w:p>
      <w:pPr>
        <w:pStyle w:val="Heading1"/>
      </w:pPr>
      <w:r>
        <w:rPr>
          <w:color w:val="1A237E"/>
        </w:rPr>
        <w:t>6. EARLY WARNING SIGNALS</w:t>
      </w:r>
    </w:p>
    <w:p>
      <w:r>
        <w:t>• Incomplete GST data and potential for ITC manipulation</w:t>
      </w:r>
    </w:p>
    <w:p>
      <w:r>
        <w:t>• Dependence on a few large customers for payments</w:t>
      </w:r>
    </w:p>
    <w:p>
      <w:r>
        <w:t>• Potential for sector-specific risks in the apparel industry</w:t>
      </w:r>
    </w:p>
    <w:p/>
    <w:p>
      <w:pPr>
        <w:pStyle w:val="Heading1"/>
      </w:pPr>
      <w:r>
        <w:rPr>
          <w:color w:val="1A237E"/>
        </w:rPr>
        <w:t>7. EXTERNAL RESEARCH</w:t>
      </w:r>
    </w:p>
    <w:p>
      <w:r>
        <w:t>News Risk Score: 0.0/10 | Negative Articles: 0 | Litigation: No</w:t>
      </w:r>
    </w:p>
    <w:p>
      <w:r>
        <w:t>Found 2 articles: 0 negative, 2 positive. News risk score: 0.0/10. No litigation found. No MCA charges. No RBI/SEBI actions.</w:t>
      </w:r>
    </w:p>
    <w:p/>
    <w:p>
      <w:pPr>
        <w:pStyle w:val="Heading1"/>
      </w:pPr>
      <w:r>
        <w:rPr>
          <w:color w:val="1A237E"/>
        </w:rPr>
        <w:t>8. RECOMMENDATION</w:t>
      </w:r>
    </w:p>
    <w:p>
      <w:r>
        <w:rPr>
          <w:b/>
          <w:sz w:val="28"/>
        </w:rPr>
        <w:t>DECISION: APPROVE</w:t>
      </w:r>
    </w:p>
    <w:p>
      <w:r>
        <w:t>Decisive Factor: The company's healthy bank statement and lack of negative external research outweigh the incomplete GST data, leading to an approval decision.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Generated by Intelli-Credit AI Engine | Intelli-Credit Bank | Internal Use Only | 07-03-2026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