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N/A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0.011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15.45 Lakhs  (Rs. 1,545,144)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8.59%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Conditional Approval</w:t>
      </w:r>
    </w:p>
    <w:p>
      <w:r>
        <w:t>LIMIT: Rs.15.45 Lakhs</w:t>
      </w:r>
    </w:p>
    <w:p>
      <w:r>
        <w:t>RATE: 8.59% per annum</w:t>
      </w:r>
    </w:p>
    <w:p>
      <w:r>
        <w:t>REASONING CHAIN:</w:t>
      </w:r>
    </w:p>
    <w:p>
      <w:r>
        <w:t>1. GST Analysis      -&gt; Significant ITC discrepancy detected with a variance of 60.58% between GSTR-2A and GSTR-3B, indicating possible fake ITC claim -&gt; increases risk</w:t>
      </w:r>
    </w:p>
    <w:p>
      <w:r>
        <w:t>2. Bank Statements   -&gt; Healthy bank statement with no EMI bounces and a decent average monthly balance -&gt; decreases risk</w:t>
      </w:r>
    </w:p>
    <w:p>
      <w:r>
        <w:t>3. External Research -&gt; No negative news, litigation, or regulatory actions found -&gt; decreases risk</w:t>
      </w:r>
    </w:p>
    <w:p>
      <w:r>
        <w:t>4. Primary Inputs    -&gt; Officer observations indicate a moderate debt-equity ratio and a satisfactory promoter score -&gt; neutral impact on risk</w:t>
      </w:r>
    </w:p>
    <w:p>
      <w:r>
        <w:t>DECISIVE FACTOR: The significant ITC discrepancy detected in the GST analysis is the primary concern, necessitating a conditional approval with additional verification and audit requirements.</w:t>
      </w:r>
    </w:p>
    <w:p>
      <w:r>
        <w:t>EARLY WARNING SIGNALS:</w:t>
      </w:r>
    </w:p>
    <w:p>
      <w:r>
        <w:t>- Any further discrepancies in GST filings or ITC claims</w:t>
      </w:r>
    </w:p>
    <w:p>
      <w:r>
        <w:t>- Deterioration in bank statement health, such as increased EMI bounces or declining average monthly balance</w:t>
      </w:r>
    </w:p>
    <w:p>
      <w:r>
        <w:t>- Adverse news or regulatory actions against the company</w:t>
      </w:r>
    </w:p>
    <w:p>
      <w:r>
        <w:t>LOAN CONDITIONS:</w:t>
      </w:r>
    </w:p>
    <w:p>
      <w:r>
        <w:t>- GST audit and verification of GSTN portal data to confirm the accuracy of ITC claims and tax payments</w:t>
      </w:r>
    </w:p>
    <w:p>
      <w:r>
        <w:t>- Quarterly review of bank statements to ensure continued healthy financial performance</w:t>
      </w:r>
    </w:p>
    <w:p>
      <w:r>
        <w:t>- Annual review of external research and credit reports to monitor for any adverse developments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6.5/10</w:t>
            </w:r>
          </w:p>
        </w:tc>
        <w:tc>
          <w:tcPr>
            <w:tcW w:type="dxa" w:w="3135"/>
          </w:tcPr>
          <w:p>
            <w: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6.98/10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2.3062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1.9497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1.9101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Promoter Integrity Score</w:t>
            </w:r>
          </w:p>
        </w:tc>
        <w:tc>
          <w:tcPr>
            <w:tcW w:type="dxa" w:w="3135"/>
          </w:tcPr>
          <w:p>
            <w:r>
              <w:t>0.7179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Any further discrepancies in GST filings or ITC claims</w:t>
      </w:r>
    </w:p>
    <w:p>
      <w:r>
        <w:t>• Deterioration in bank statement health, such as increased EMI bounces or declining average monthly balance</w:t>
      </w:r>
    </w:p>
    <w:p>
      <w:r>
        <w:t>• Adverse news or regulatory actions against the company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No significant news coverage found.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significant ITC discrepancy detected in the GST analysis is the primary concern, necessitating a conditional approval with additional verification and audit requirements.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