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Radiant Infratech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CAM/2026/RADI/03141011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fff4e5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B85C00"/>
                <w:sz w:val="18"/>
              </w:rPr>
              <w:t>CONDITIONAL APPROVAL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20,625,000 (206.25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11.30%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14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Radiant Infratech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07AABCR4521K1ZX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CAM/2026/RADI/03141011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CONDITIONAL APPROVAL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0.350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20,625,000 (206.25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11.30%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420,000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10,400,000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30%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Only 30.0% of financial ratios could be auto-derived. Please ensure ITR and Bank Statement are uploaded.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Net worth not found in ITR — officer must enter manually.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3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D/E ratio could not be derived — debt or net worth missing.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character risk. Additional due diligence needed.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5.5/10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capital concerns. Leverage needs monitoring.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5.03/10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2.7801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2.0300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1.7705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1.3985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High EMI bounce rates and overdraft limit breaches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 average monthly balance and frequent cheque returns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Abnormal revenue growth and possible inflation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Reject</w:t>
      </w:r>
    </w:p>
    <w:p>
      <w:pPr>
        <w:spacing w:after="40"/>
      </w:pPr>
      <w:r>
        <w:rPr>
          <w:rFonts w:ascii="Arial" w:hAnsi="Arial"/>
          <w:b/>
          <w:sz w:val="18"/>
        </w:rPr>
        <w:t>LIMIT: Rs.206.25 Lakhs</w:t>
      </w:r>
    </w:p>
    <w:p>
      <w:pPr>
        <w:spacing w:after="40"/>
      </w:pPr>
      <w:r>
        <w:rPr>
          <w:rFonts w:ascii="Arial" w:hAnsi="Arial"/>
          <w:b/>
          <w:sz w:val="18"/>
        </w:rPr>
        <w:t>RATE: 11.30%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Significant ITC discrepancy detected, possible fake ITC claim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Multiple EMI bounces, cheque returns, and overdraft limit breaches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significant news coverage, litigation, or MCA charges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Officer observation of debt/equity ratio, collateral coverage, and promoter score -&gt; increases risk due to high debt/equity ratio and low collateral coverage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significant ITC discrepancy detected in the GST analysis, indicating possible fake ITC claims, is the primary reason for the rejection decision.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High EMI bounce rates and overdraft limit breaches</w:t>
      </w:r>
    </w:p>
    <w:p>
      <w:pPr>
        <w:spacing w:after="40"/>
      </w:pPr>
      <w:r>
        <w:rPr>
          <w:rFonts w:ascii="Arial" w:hAnsi="Arial"/>
          <w:b w:val="0"/>
          <w:sz w:val="18"/>
        </w:rPr>
        <w:t>- Low average monthly balance and frequent cheque returns</w:t>
      </w:r>
    </w:p>
    <w:p>
      <w:pPr>
        <w:spacing w:after="40"/>
      </w:pPr>
      <w:r>
        <w:rPr>
          <w:rFonts w:ascii="Arial" w:hAnsi="Arial"/>
          <w:b w:val="0"/>
          <w:sz w:val="18"/>
        </w:rPr>
        <w:t>- Abnormal revenue growth and possible inflation</w:t>
      </w:r>
    </w:p>
    <w:p>
      <w:pPr>
        <w:spacing w:after="40"/>
      </w:pPr>
      <w:r>
        <w:rPr>
          <w:rFonts w:ascii="Arial" w:hAnsi="Arial"/>
          <w:b/>
          <w:sz w:val="18"/>
        </w:rPr>
        <w:t>LOAN CONDITIONS: NA</w:t>
      </w:r>
    </w:p>
    <w:p>
      <w:pPr>
        <w:spacing w:after="40"/>
      </w:pPr>
      <w:r>
        <w:rPr>
          <w:rFonts w:ascii="Arial" w:hAnsi="Arial"/>
          <w:b w:val="0"/>
          <w:sz w:val="18"/>
        </w:rPr>
        <w:t>ADDITIONAL DOCUMENT CONTEXT: The provided bank statement data and ITR information reveal a critically low closing balance, multiple cheque returns, and overdraft limit breaches, further supporting the rejection decision.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B85C00"/>
          <w:sz w:val="26"/>
        </w:rPr>
        <w:t>DECISION: CONDITIONAL APPROVAL</w:t>
      </w:r>
    </w:p>
    <w:p>
      <w:r>
        <w:rPr>
          <w:rFonts w:ascii="Arial" w:hAnsi="Arial"/>
          <w:sz w:val="18"/>
        </w:rPr>
        <w:t>Decisive Factor: The significant ITC discrepancy detected in the GST analysis, indicating possible fake ITC claims, is the primary reason for the rejection decision.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CAM/2026/RADI/03141011  |  Intelli-Credit Bank  |  STRICTLY CONFIDENTIAL  |  14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