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Arial" w:hAnsi="Arial"/>
          <w:color w:val="0D1F5C"/>
          <w:sz w:val="28"/>
        </w:rPr>
        <w:t>INTELLI-CREDIT BANK</w:t>
      </w:r>
    </w:p>
    <w:p>
      <w:pPr>
        <w:jc w:val="center"/>
      </w:pPr>
      <w:r>
        <w:rPr>
          <w:rFonts w:ascii="Arial" w:hAnsi="Arial"/>
          <w:color w:val="4C5068"/>
          <w:sz w:val="18"/>
        </w:rPr>
        <w:t>Credit Risk Management Division</w:t>
      </w:r>
    </w:p>
    <w:p/>
    <w:p>
      <w:pPr>
        <w:jc w:val="center"/>
      </w:pPr>
      <w:r>
        <w:rPr>
          <w:rFonts w:ascii="Arial" w:hAnsi="Arial"/>
          <w:b/>
          <w:color w:val="0D1F5C"/>
          <w:sz w:val="36"/>
        </w:rPr>
        <w:t>CREDIT APPRAISAL MEMORANDUM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Applicant / Borrower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Radiant Infratech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Reference No.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CAM/2026/RADI/03141023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AI Decision</w:t>
            </w:r>
          </w:p>
        </w:tc>
        <w:tc>
          <w:tcPr>
            <w:tcW w:type="dxa" w:w="4819"/>
            <w:shd w:fill="ffeaea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B71C1C"/>
                <w:sz w:val="18"/>
              </w:rPr>
              <w:t>REJECTED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Risk Category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HIGH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Loan Limit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Rs. 14,836,624 (148.37 Lakhs)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Interest Rate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15.00% p.a.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Report Date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14 March 2026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Prepared By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Intelli-Credit AI Engine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Classification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STRICTLY CONFIDENTIAL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Credit Analyst</w:t>
            </w:r>
          </w:p>
        </w:tc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Credit Manager / AGM</w:t>
            </w:r>
          </w:p>
        </w:tc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Chief Credit Officer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Name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Signature</w:t>
              <w:br/>
              <w:br/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Date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>
      <w:r>
        <w:br w:type="page"/>
      </w:r>
    </w:p>
    <w:p>
      <w:pPr>
        <w:spacing w:before="240" w:after="100"/>
        <w:pBdr>
          <w:left w:val="single" w:sz="18" w:space="6" w:color="0d1f5c"/>
        </w:pBdr>
      </w:pPr>
      <w:r>
        <w:rPr>
          <w:rFonts w:ascii="Arial" w:hAnsi="Arial"/>
          <w:b/>
          <w:color w:val="1A3080"/>
          <w:sz w:val="22"/>
        </w:rPr>
        <w:t>SECTION 1 — EXECUTIVE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Company / Borrower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Radiant Infratech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GSTIN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07AABCR4521K1ZX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Reference No.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CAM/2026/RADI/03141023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AI Decision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REJECTED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Risk Category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HIGH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Risk Score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0.813 / 1.000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Loan Limit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Rs. 14,836,624 (148.37 Lakhs)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Interest Rate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15.00% p.a.</w:t>
            </w:r>
          </w:p>
        </w:tc>
      </w:tr>
    </w:tbl>
    <w:p/>
    <w:p>
      <w:pPr>
        <w:spacing w:before="240" w:after="100"/>
        <w:pBdr>
          <w:left w:val="single" w:sz="18" w:space="6" w:color="0d1f5c"/>
        </w:pBdr>
      </w:pPr>
      <w:r>
        <w:rPr>
          <w:rFonts w:ascii="Arial" w:hAnsi="Arial"/>
          <w:b/>
          <w:color w:val="1A3080"/>
          <w:sz w:val="22"/>
        </w:rPr>
        <w:t>SECTION 2 — FINANCIAL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Avg Monthly Balance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Rs. 420,000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Monthly Credit Avg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Rs. 10,400,000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Data Completeness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40%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Note 1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Only 40.0% of financial ratios could be auto-derived. Please ensure ITR and Bank Statement are uploaded.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Note 2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Net worth not found in ITR — officer must enter manually.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Note 3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D/E ratio could not be derived — debt or net worth missing.</w:t>
            </w:r>
          </w:p>
        </w:tc>
      </w:tr>
    </w:tbl>
    <w:p/>
    <w:p>
      <w:pPr>
        <w:spacing w:before="240" w:after="100"/>
        <w:pBdr>
          <w:left w:val="single" w:sz="18" w:space="6" w:color="0d1f5c"/>
        </w:pBdr>
      </w:pPr>
      <w:r>
        <w:rPr>
          <w:rFonts w:ascii="Arial" w:hAnsi="Arial"/>
          <w:b/>
          <w:color w:val="1A3080"/>
          <w:sz w:val="22"/>
        </w:rPr>
        <w:t>SECTION 3 — FIVE Cs CREDIT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Score</w:t>
            </w:r>
          </w:p>
        </w:tc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Assessment Summary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Character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4.5/10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Moderate character risk. Additional due diligence needed.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Capacity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2.5/10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Weak repayment capacity. High risk of default on repayment.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Capital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5.5/10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Moderate capital concerns. Leverage needs monitoring.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Collateral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6.0/10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Adequate collateral. Loan well-secured.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Conditions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7.0/10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Neutral conditions. Standard sector risk.</w:t>
            </w:r>
          </w:p>
        </w:tc>
      </w:tr>
      <w:tr>
        <w:tc>
          <w:tcPr>
            <w:tcW w:type="dxa" w:w="31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OVERALL</w:t>
            </w:r>
          </w:p>
        </w:tc>
        <w:tc>
          <w:tcPr>
            <w:tcW w:type="dxa" w:w="3135"/>
            <w:shd w:fill="e8edf8" w:val="clear" w:color="auto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8"/>
              </w:rPr>
              <w:t>4.58/10</w:t>
            </w:r>
          </w:p>
        </w:tc>
        <w:tc>
          <w:tcPr>
            <w:tcW w:type="dxa" w:w="31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Weighted average</w:t>
            </w:r>
          </w:p>
        </w:tc>
      </w:tr>
    </w:tbl>
    <w:p/>
    <w:p>
      <w:pPr>
        <w:spacing w:before="240" w:after="100"/>
        <w:pBdr>
          <w:left w:val="single" w:sz="18" w:space="6" w:color="0d1f5c"/>
        </w:pBdr>
      </w:pPr>
      <w:r>
        <w:rPr>
          <w:rFonts w:ascii="Arial" w:hAnsi="Arial"/>
          <w:b/>
          <w:color w:val="1A3080"/>
          <w:sz w:val="22"/>
        </w:rPr>
        <w:t>SECTION 4 — AI RISK DRIVERS (SHAP)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Factor</w:t>
            </w:r>
          </w:p>
        </w:tc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SHAP Impact</w:t>
            </w:r>
          </w:p>
        </w:tc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Direction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GSTR 2A vs 3B Variance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2.2319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increases risk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Active Litigation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2.0438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decreases risk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GST Filing Regularity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1.9631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decreases risk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EMI Bounce Count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1.7081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increases risk</w:t>
            </w:r>
          </w:p>
        </w:tc>
      </w:tr>
    </w:tbl>
    <w:p/>
    <w:p>
      <w:pPr>
        <w:spacing w:before="240" w:after="100"/>
        <w:pBdr>
          <w:left w:val="single" w:sz="18" w:space="6" w:color="0d1f5c"/>
        </w:pBdr>
      </w:pPr>
      <w:r>
        <w:rPr>
          <w:rFonts w:ascii="Arial" w:hAnsi="Arial"/>
          <w:b/>
          <w:color w:val="1A3080"/>
          <w:sz w:val="22"/>
        </w:rPr>
        <w:t>SECTION 5 — EARLY WARNING SIGNALS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b85c00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Signal</w:t>
            </w:r>
          </w:p>
        </w:tc>
        <w:tc>
          <w:tcPr>
            <w:tcW w:type="dxa" w:w="4703"/>
            <w:shd w:fill="b85c00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Monitor Frequency</w:t>
            </w:r>
          </w:p>
        </w:tc>
      </w:tr>
      <w:tr>
        <w:tc>
          <w:tcPr>
            <w:tcW w:type="dxa" w:w="4703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Further deterioration in cash flow management</w:t>
            </w:r>
          </w:p>
        </w:tc>
        <w:tc>
          <w:tcPr>
            <w:tcW w:type="dxa" w:w="4703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Monthly</w:t>
            </w:r>
          </w:p>
        </w:tc>
      </w:tr>
      <w:tr>
        <w:tc>
          <w:tcPr>
            <w:tcW w:type="dxa" w:w="4703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Increase in EMI bounces and cheque returns</w:t>
            </w:r>
          </w:p>
        </w:tc>
        <w:tc>
          <w:tcPr>
            <w:tcW w:type="dxa" w:w="4703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Quarterly</w:t>
            </w:r>
          </w:p>
        </w:tc>
      </w:tr>
      <w:tr>
        <w:tc>
          <w:tcPr>
            <w:tcW w:type="dxa" w:w="4703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Detection of more shell entity transactions or round-tripping</w:t>
            </w:r>
          </w:p>
        </w:tc>
        <w:tc>
          <w:tcPr>
            <w:tcW w:type="dxa" w:w="4703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Quarterly</w:t>
            </w:r>
          </w:p>
        </w:tc>
      </w:tr>
    </w:tbl>
    <w:p/>
    <w:p>
      <w:pPr>
        <w:spacing w:before="240" w:after="100"/>
        <w:pBdr>
          <w:left w:val="single" w:sz="18" w:space="6" w:color="0d1f5c"/>
        </w:pBdr>
      </w:pPr>
      <w:r>
        <w:rPr>
          <w:rFonts w:ascii="Arial" w:hAnsi="Arial"/>
          <w:b/>
          <w:color w:val="1A3080"/>
          <w:sz w:val="22"/>
        </w:rPr>
        <w:t>SECTION 6 — AI REASONING CHAIN</w:t>
      </w:r>
    </w:p>
    <w:p>
      <w:pPr>
        <w:spacing w:after="40"/>
      </w:pPr>
      <w:r>
        <w:rPr>
          <w:rFonts w:ascii="Arial" w:hAnsi="Arial"/>
          <w:b/>
          <w:sz w:val="18"/>
        </w:rPr>
        <w:t>DECISION: Reject</w:t>
      </w:r>
    </w:p>
    <w:p>
      <w:pPr>
        <w:spacing w:after="40"/>
      </w:pPr>
      <w:r>
        <w:rPr>
          <w:rFonts w:ascii="Arial" w:hAnsi="Arial"/>
          <w:b/>
          <w:sz w:val="18"/>
        </w:rPr>
        <w:t>LIMIT: Rs.148.37 Lakhs</w:t>
      </w:r>
    </w:p>
    <w:p>
      <w:pPr>
        <w:spacing w:after="40"/>
      </w:pPr>
      <w:r>
        <w:rPr>
          <w:rFonts w:ascii="Arial" w:hAnsi="Arial"/>
          <w:b/>
          <w:sz w:val="18"/>
        </w:rPr>
        <w:t>RATE: 15.00% per annum</w:t>
      </w:r>
    </w:p>
    <w:p>
      <w:pPr>
        <w:spacing w:after="40"/>
      </w:pPr>
      <w:r>
        <w:rPr>
          <w:rFonts w:ascii="Arial" w:hAnsi="Arial"/>
          <w:b/>
          <w:sz w:val="18"/>
        </w:rPr>
        <w:t>REASONING CHAIN:</w:t>
      </w:r>
    </w:p>
    <w:p>
      <w:pPr>
        <w:spacing w:after="40"/>
      </w:pPr>
      <w:r>
        <w:rPr>
          <w:rFonts w:ascii="Arial" w:hAnsi="Arial"/>
          <w:b w:val="0"/>
          <w:sz w:val="18"/>
        </w:rPr>
        <w:t>1. GST Analysis      -&gt; Significant ITC discrepancy detected with a variance of 153.33% -&gt; increases risk</w:t>
      </w:r>
    </w:p>
    <w:p>
      <w:pPr>
        <w:spacing w:after="40"/>
      </w:pPr>
      <w:r>
        <w:rPr>
          <w:rFonts w:ascii="Arial" w:hAnsi="Arial"/>
          <w:b w:val="0"/>
          <w:sz w:val="18"/>
        </w:rPr>
        <w:t>2. Bank Statements   -&gt; Multiple EMI bounces, cheque returns, and overdraft limit breaches indicate poor cash flow management -&gt; increases risk</w:t>
      </w:r>
    </w:p>
    <w:p>
      <w:pPr>
        <w:spacing w:after="40"/>
      </w:pPr>
      <w:r>
        <w:rPr>
          <w:rFonts w:ascii="Arial" w:hAnsi="Arial"/>
          <w:b w:val="0"/>
          <w:sz w:val="18"/>
        </w:rPr>
        <w:t>3. External Research -&gt; No significant news coverage or litigation found, but round-tripping and shell entity transactions suspected -&gt; increases risk</w:t>
      </w:r>
    </w:p>
    <w:p>
      <w:pPr>
        <w:spacing w:after="40"/>
      </w:pPr>
      <w:r>
        <w:rPr>
          <w:rFonts w:ascii="Arial" w:hAnsi="Arial"/>
          <w:b w:val="0"/>
          <w:sz w:val="18"/>
        </w:rPr>
        <w:t>4. Primary Inputs    -&gt; Officer observation of debt-equity ratio, collateral coverage, and promoter score indicates high risk -&gt; increases risk</w:t>
      </w:r>
    </w:p>
    <w:p>
      <w:pPr>
        <w:spacing w:after="40"/>
      </w:pPr>
      <w:r>
        <w:rPr>
          <w:rFonts w:ascii="Arial" w:hAnsi="Arial"/>
          <w:b/>
          <w:sz w:val="18"/>
        </w:rPr>
        <w:t>DECISIVE FACTOR: The significant ITC discrepancy detected in the GST analysis, along with poor cash flow management and suspected round-tripping and shell entity transactions, makes the loan application high-risk.</w:t>
      </w:r>
    </w:p>
    <w:p>
      <w:pPr>
        <w:spacing w:after="40"/>
      </w:pPr>
      <w:r>
        <w:rPr>
          <w:rFonts w:ascii="Arial" w:hAnsi="Arial"/>
          <w:b w:val="0"/>
          <w:sz w:val="18"/>
        </w:rPr>
        <w:t>EARLY WARNING SIGNALS:</w:t>
      </w:r>
    </w:p>
    <w:p>
      <w:pPr>
        <w:spacing w:after="40"/>
      </w:pPr>
      <w:r>
        <w:rPr>
          <w:rFonts w:ascii="Arial" w:hAnsi="Arial"/>
          <w:b w:val="0"/>
          <w:sz w:val="18"/>
        </w:rPr>
        <w:t>- Further deterioration in cash flow management</w:t>
      </w:r>
    </w:p>
    <w:p>
      <w:pPr>
        <w:spacing w:after="40"/>
      </w:pPr>
      <w:r>
        <w:rPr>
          <w:rFonts w:ascii="Arial" w:hAnsi="Arial"/>
          <w:b w:val="0"/>
          <w:sz w:val="18"/>
        </w:rPr>
        <w:t>- Increase in EMI bounces and cheque returns</w:t>
      </w:r>
    </w:p>
    <w:p>
      <w:pPr>
        <w:spacing w:after="40"/>
      </w:pPr>
      <w:r>
        <w:rPr>
          <w:rFonts w:ascii="Arial" w:hAnsi="Arial"/>
          <w:b w:val="0"/>
          <w:sz w:val="18"/>
        </w:rPr>
        <w:t>- Detection of more shell entity transactions or round-tripping</w:t>
      </w:r>
    </w:p>
    <w:p>
      <w:pPr>
        <w:spacing w:after="40"/>
      </w:pPr>
      <w:r>
        <w:rPr>
          <w:rFonts w:ascii="Arial" w:hAnsi="Arial"/>
          <w:b/>
          <w:sz w:val="18"/>
        </w:rPr>
        <w:t>LOAN CONDITIONS:</w:t>
      </w:r>
    </w:p>
    <w:p>
      <w:pPr>
        <w:spacing w:after="40"/>
      </w:pPr>
      <w:r>
        <w:rPr>
          <w:rFonts w:ascii="Arial" w:hAnsi="Arial"/>
          <w:b w:val="0"/>
          <w:sz w:val="18"/>
        </w:rPr>
        <w:t>- NA</w:t>
      </w:r>
    </w:p>
    <w:p>
      <w:pPr>
        <w:spacing w:after="40"/>
      </w:pPr>
      <w:r>
        <w:rPr>
          <w:rFonts w:ascii="Arial" w:hAnsi="Arial"/>
          <w:b w:val="0"/>
          <w:sz w:val="18"/>
        </w:rPr>
        <w:t>ADDITIONAL DOCUMENT CONTEXT:</w:t>
      </w:r>
    </w:p>
    <w:p>
      <w:pPr>
        <w:spacing w:after="40"/>
      </w:pPr>
      <w:r>
        <w:rPr>
          <w:rFonts w:ascii="Arial" w:hAnsi="Arial"/>
          <w:b w:val="0"/>
          <w:sz w:val="18"/>
        </w:rPr>
        <w:t>The additional documents provided further highlight the company's poor cash flow management, with multiple instances of EMI bounces, cheque returns, and overdraft limit breaches. The suspected round-tripping and shell entity transactions also increase the risk associated with the loan application.</w:t>
      </w:r>
    </w:p>
    <w:p/>
    <w:p>
      <w:pPr>
        <w:spacing w:before="240" w:after="100"/>
        <w:pBdr>
          <w:left w:val="single" w:sz="18" w:space="6" w:color="0d1f5c"/>
        </w:pBdr>
      </w:pPr>
      <w:r>
        <w:rPr>
          <w:rFonts w:ascii="Arial" w:hAnsi="Arial"/>
          <w:b/>
          <w:color w:val="1A3080"/>
          <w:sz w:val="22"/>
        </w:rPr>
        <w:t>SECTION 7 — RECOMMENDATION</w:t>
      </w:r>
    </w:p>
    <w:p>
      <w:r>
        <w:rPr>
          <w:rFonts w:ascii="Arial" w:hAnsi="Arial"/>
          <w:b/>
          <w:color w:val="B71C1C"/>
          <w:sz w:val="26"/>
        </w:rPr>
        <w:t>DECISION: REJECTED</w:t>
      </w:r>
    </w:p>
    <w:p>
      <w:r>
        <w:rPr>
          <w:rFonts w:ascii="Arial" w:hAnsi="Arial"/>
          <w:sz w:val="18"/>
        </w:rPr>
        <w:t>Decisive Factor: The significant ITC discrepancy detected in the GST analysis, along with poor cash flow management and suspected round-tripping and shell entity transactions, makes the loan application high-risk.</w:t>
      </w:r>
    </w:p>
    <w:sectPr w:rsidR="00FC693F" w:rsidRPr="0006063C" w:rsidSect="00034616">
      <w:footerReference w:type="default" r:id="rId9"/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C5068"/>
        <w:sz w:val="15"/>
      </w:rPr>
      <w:t>Ref: CAM/2026/RADI/03141023  |  Intelli-Credit Bank  |  STRICTLY CONFIDENTIAL  |  14 Mar 2026  |  Intelli-Credit AI Engine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