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Create Tables for Helping Hands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DateTime format example = 2016-10-30 23:59:59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hh_Address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AddressId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AddressLine1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AddressLine2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 varchar(2)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key(AddressId),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 key(AddressLine1, City, State)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hh_User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FirstName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LastName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varchar(15)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AddressLine1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AddressLine2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 varchar(2),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Zip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key(UserId),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 key(Email)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hh_Request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RequestId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RequestType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DateRequested 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DateCompleted 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varchar(2000)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RequesterId 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VolunteerId int(11),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AddressId int(11),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key(RequestId),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key(RequesterId) references hh_User(UserId),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key(VolunteerId) references hh_User(UserId),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key(AddressId) references hh_Address(AddressId)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hh_Feedback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FeedbackId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FeedbackText varchar(1500),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Rating tinyint(11)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 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RequestId 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key(FeedbackId),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key(UserId) references hh_User(UserId),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key(RequestId) references hh_Request(RequestId)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hh_UserProfile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UserProfileId int(11)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UserRating double(3,2),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RequestsMade int(11),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RequestsCompleted int(11),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IsActive bool,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 int(11)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key(UserProfileId),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key(UserId) references hh_User(UserId)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