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ModuPorter EAM migration templates customer manual</w:t>
      </w:r>
    </w:p>
    <w:p>
      <w:r>
        <w:t>Version 1.0.0 | KAOURI INNOVATECH</w:t>
      </w:r>
    </w:p>
    <w:p>
      <w:r>
        <w:t>This manual explains installation, module selection, extraction and comparison for the supplied migration templates. Each pack contains separate SOURCE and TARGET archives. Business objects are created through the SAP interface chosen by the customer.</w:t>
      </w:r>
    </w:p>
    <w:tbl>
      <w:tblPr>
        <w:tblW w:type="auto" w:w="0"/>
        <w:tblLayout w:type="fixed"/>
        <w:tblLook w:firstColumn="1" w:firstRow="1" w:lastColumn="0" w:lastRow="0" w:noHBand="0" w:noVBand="1" w:val="04A0"/>
      </w:tblPr>
      <w:tblGrid>
        <w:gridCol w:w="2891"/>
        <w:gridCol w:w="2324"/>
        <w:gridCol w:w="2324"/>
        <w:gridCol w:w="2324"/>
      </w:tblGrid>
      <w:tr>
        <w:trPr>
          <w:tblHeader/>
          <w:cantSplit/>
        </w:trPr>
        <w:tc>
          <w:tcPr>
            <w:tcW w:type="dxa" w:w="2891"/>
            <w:shd w:fill="273D50"/>
          </w:tcPr>
          <w:p>
            <w:pPr>
              <w:spacing w:after="80" w:before="80"/>
            </w:pPr>
            <w:r>
              <w:rPr>
                <w:b/>
                <w:color w:val="FFFFFF"/>
                <w:sz w:val="20"/>
              </w:rPr>
              <w:t>Pack</w:t>
            </w:r>
          </w:p>
        </w:tc>
        <w:tc>
          <w:tcPr>
            <w:tcW w:type="dxa" w:w="2324"/>
            <w:shd w:fill="273D50"/>
          </w:tcPr>
          <w:p>
            <w:pPr>
              <w:spacing w:after="80" w:before="80"/>
            </w:pPr>
            <w:r>
              <w:rPr>
                <w:b/>
                <w:color w:val="FFFFFF"/>
                <w:sz w:val="20"/>
              </w:rPr>
              <w:t>Structures</w:t>
            </w:r>
          </w:p>
        </w:tc>
        <w:tc>
          <w:tcPr>
            <w:tcW w:type="dxa" w:w="2324"/>
            <w:shd w:fill="273D50"/>
          </w:tcPr>
          <w:p>
            <w:pPr>
              <w:spacing w:after="80" w:before="80"/>
            </w:pPr>
            <w:r>
              <w:rPr>
                <w:b/>
                <w:color w:val="FFFFFF"/>
                <w:sz w:val="20"/>
              </w:rPr>
              <w:t>Source views</w:t>
            </w:r>
          </w:p>
        </w:tc>
        <w:tc>
          <w:tcPr>
            <w:tcW w:type="dxa" w:w="2324"/>
            <w:shd w:fill="273D50"/>
          </w:tcPr>
          <w:p>
            <w:pPr>
              <w:spacing w:after="80" w:before="80"/>
            </w:pPr>
            <w:r>
              <w:rPr>
                <w:b/>
                <w:color w:val="FFFFFF"/>
                <w:sz w:val="20"/>
              </w:rPr>
              <w:t>Target views</w:t>
            </w:r>
          </w:p>
        </w:tc>
      </w:tr>
      <w:tr>
        <w:trPr>
          <w:cantSplit/>
        </w:trPr>
        <w:tc>
          <w:tcPr>
            <w:tcW w:type="dxa" w:w="2891"/>
            <w:shd w:fill="F2F5F7"/>
          </w:tcPr>
          <w:p>
            <w:pPr>
              <w:spacing w:after="80" w:before="80"/>
            </w:pPr>
            <w:r>
              <w:rPr>
                <w:b w:val="0"/>
                <w:color w:val="000000"/>
                <w:sz w:val="20"/>
              </w:rPr>
              <w:t>EAM</w:t>
            </w:r>
          </w:p>
        </w:tc>
        <w:tc>
          <w:tcPr>
            <w:tcW w:type="dxa" w:w="2324"/>
            <w:shd w:fill="F2F5F7"/>
          </w:tcPr>
          <w:p>
            <w:pPr>
              <w:spacing w:after="80" w:before="80"/>
            </w:pPr>
            <w:r>
              <w:rPr>
                <w:b w:val="0"/>
                <w:color w:val="000000"/>
                <w:sz w:val="20"/>
              </w:rPr>
              <w:t>46</w:t>
            </w:r>
          </w:p>
        </w:tc>
        <w:tc>
          <w:tcPr>
            <w:tcW w:type="dxa" w:w="2324"/>
            <w:shd w:fill="F2F5F7"/>
          </w:tcPr>
          <w:p>
            <w:pPr>
              <w:spacing w:after="80" w:before="80"/>
            </w:pPr>
            <w:r>
              <w:rPr>
                <w:b w:val="0"/>
                <w:color w:val="000000"/>
                <w:sz w:val="20"/>
              </w:rPr>
              <w:t>169</w:t>
            </w:r>
          </w:p>
        </w:tc>
        <w:tc>
          <w:tcPr>
            <w:tcW w:type="dxa" w:w="2324"/>
            <w:shd w:fill="F2F5F7"/>
          </w:tcPr>
          <w:p>
            <w:pPr>
              <w:spacing w:after="80" w:before="80"/>
            </w:pPr>
            <w:r>
              <w:rPr>
                <w:b w:val="0"/>
                <w:color w:val="000000"/>
                <w:sz w:val="20"/>
              </w:rPr>
              <w:t>16</w:t>
            </w:r>
          </w:p>
        </w:tc>
      </w:tr>
    </w:tbl>
    <w:p/>
    <w:p>
      <w:pPr>
        <w:pStyle w:val="Heading2"/>
      </w:pPr>
      <w:r>
        <w:t>Architecture</w:t>
      </w:r>
    </w:p>
    <w:p>
      <w:r>
        <w:t>SAP table → B_ Basic → I_ Interface → C_ Consumption</w:t>
      </w:r>
    </w:p>
    <w:p>
      <w:r>
        <w:t>Basic reads native tables and preserves their data grain. Composite exposes business columns and relationships. Consumption provides documented export structures. Target views and CSV contracts compare the same selected population.</w:t>
      </w:r>
    </w:p>
    <w:p>
      <w:pPr>
        <w:pStyle w:val="Heading2"/>
      </w:pPr>
      <w:r>
        <w:t>Delivery contents</w:t>
      </w:r>
    </w:p>
    <w:p>
      <w:r>
        <w:t>Included are CDS sources, abapGit metadata, field mappings, activation order, scope documentation, license and a VDM map. Python tools support selection and comparison. Optional ABAP reports are created separately in SE38.</w:t>
      </w:r>
    </w:p>
    <w:p>
      <w:r>
        <w:t>The license allows unlimited use and modification for internal and client implementations. Resale of the template library is excluded. See docs/LICENSE.md for the terms.</w:t>
      </w:r>
    </w:p>
    <w:p>
      <w:r>
        <w:br w:type="page"/>
      </w:r>
    </w:p>
    <w:p>
      <w:pPr>
        <w:pStyle w:val="Heading1"/>
      </w:pPr>
      <w:r>
        <w:t>Installation and use</w:t>
      </w:r>
    </w:p>
    <w:p>
      <w:r>
        <w:t>1. Extract SOURCE and TARGET and import them separately into the respective SAP systems. The outer customer-pack ZIP is not a direct abapGit import.</w:t>
      </w:r>
    </w:p>
    <w:p>
      <w:r>
        <w:t>2. In abapGit select New Offline, assign a customer package, then Import ZIP and Pull ZIP. Follow ACTIVATION_ORDER.txt.</w:t>
      </w:r>
    </w:p>
    <w:p>
      <w:r>
        <w:t>3. Tables, standard views, ABAP stack and authorizations must meet docs/COMPATIBILITY.md. No DCL is included; authorize the chosen extraction channel explicitly.</w:t>
      </w:r>
    </w:p>
    <w:p>
      <w:r>
        <w:t>4. Export Consumption with the supplied column names. Preserve leading zeros, internal identifiers, units and currencies.</w:t>
      </w:r>
    </w:p>
    <w:p>
      <w:r>
        <w:t>5. Enter approved keys in customer/selection. Empty selections yield zero records. Use Python 3.10 or newer on the workstation.</w:t>
      </w:r>
    </w:p>
    <w:p>
      <w:r>
        <w:t>6. Map identifiers and regenerated UUIDs using a separate key ledger. Apply the same source and target population.</w:t>
      </w:r>
    </w:p>
    <w:p>
      <w:r>
        <w:t>7. Implement target creation, transaction handling and error recovery through an appropriate SAP API or BAPI. Do not write directly to application tables.</w:t>
      </w:r>
    </w:p>
    <w:p>
      <w:pPr>
        <w:pStyle w:val="Heading2"/>
      </w:pPr>
      <w:r>
        <w:t>Module selection</w:t>
      </w:r>
    </w:p>
    <w:p>
      <w:r>
        <w:t>python build_package.py --product eam_mig_ecc equipment --out source.zip</w:t>
      </w:r>
    </w:p>
    <w:p>
      <w:r>
        <w:t>Run the builder in the GitHub checkout on your workstation. Required modules are included automatically. For the complete product use --all instead of a module name. An individual view needs every referenced view.</w:t>
      </w:r>
    </w:p>
    <w:p>
      <w:r>
        <w:br w:type="page"/>
      </w:r>
    </w:p>
    <w:p>
      <w:pPr>
        <w:pStyle w:val="Heading1"/>
      </w:pPr>
      <w:r>
        <w:t>Scope and business rules</w:t>
      </w:r>
    </w:p>
    <w:tbl>
      <w:tblPr>
        <w:tblW w:type="auto" w:w="0"/>
        <w:tblLayout w:type="fixed"/>
        <w:tblLook w:firstColumn="1" w:firstRow="1" w:lastColumn="0" w:lastRow="0" w:noHBand="0" w:noVBand="1" w:val="04A0"/>
      </w:tblPr>
      <w:tblGrid>
        <w:gridCol w:w="7313"/>
        <w:gridCol w:w="2551"/>
      </w:tblGrid>
      <w:tr>
        <w:trPr>
          <w:tblHeader/>
          <w:cantSplit/>
        </w:trPr>
        <w:tc>
          <w:tcPr>
            <w:tcW w:type="dxa" w:w="7313"/>
            <w:shd w:fill="273D50"/>
          </w:tcPr>
          <w:p>
            <w:pPr>
              <w:spacing w:after="80" w:before="80"/>
            </w:pPr>
            <w:r>
              <w:rPr>
                <w:b/>
                <w:color w:val="FFFFFF"/>
                <w:sz w:val="20"/>
              </w:rPr>
              <w:t>Module</w:t>
            </w:r>
          </w:p>
        </w:tc>
        <w:tc>
          <w:tcPr>
            <w:tcW w:type="dxa" w:w="2551"/>
            <w:shd w:fill="273D50"/>
          </w:tcPr>
          <w:p>
            <w:pPr>
              <w:spacing w:after="80" w:before="80"/>
            </w:pPr>
            <w:r>
              <w:rPr>
                <w:b/>
                <w:color w:val="FFFFFF"/>
                <w:sz w:val="20"/>
              </w:rPr>
              <w:t>Views</w:t>
            </w:r>
          </w:p>
        </w:tc>
      </w:tr>
      <w:tr>
        <w:trPr>
          <w:cantSplit/>
        </w:trPr>
        <w:tc>
          <w:tcPr>
            <w:tcW w:type="dxa" w:w="7313"/>
            <w:shd w:fill="F2F5F7"/>
          </w:tcPr>
          <w:p>
            <w:pPr>
              <w:spacing w:after="80" w:before="80"/>
            </w:pPr>
            <w:r>
              <w:rPr>
                <w:b w:val="0"/>
                <w:color w:val="000000"/>
                <w:sz w:val="20"/>
              </w:rPr>
              <w:t>classification</w:t>
            </w:r>
          </w:p>
        </w:tc>
        <w:tc>
          <w:tcPr>
            <w:tcW w:type="dxa" w:w="2551"/>
            <w:shd w:fill="F2F5F7"/>
          </w:tcPr>
          <w:p>
            <w:pPr>
              <w:spacing w:after="80" w:before="80"/>
            </w:pPr>
            <w:r>
              <w:rPr>
                <w:b w:val="0"/>
                <w:color w:val="000000"/>
                <w:sz w:val="20"/>
              </w:rPr>
              <w:t>8</w:t>
            </w:r>
          </w:p>
        </w:tc>
      </w:tr>
      <w:tr>
        <w:trPr>
          <w:cantSplit/>
        </w:trPr>
        <w:tc>
          <w:tcPr>
            <w:tcW w:type="dxa" w:w="7313"/>
            <w:shd w:fill="FFFFFF"/>
          </w:tcPr>
          <w:p>
            <w:pPr>
              <w:spacing w:after="80" w:before="80"/>
            </w:pPr>
            <w:r>
              <w:rPr>
                <w:b w:val="0"/>
                <w:color w:val="000000"/>
                <w:sz w:val="20"/>
              </w:rPr>
              <w:t>core</w:t>
            </w:r>
          </w:p>
        </w:tc>
        <w:tc>
          <w:tcPr>
            <w:tcW w:type="dxa" w:w="2551"/>
            <w:shd w:fill="FFFFFF"/>
          </w:tcPr>
          <w:p>
            <w:pPr>
              <w:spacing w:after="80" w:before="80"/>
            </w:pPr>
            <w:r>
              <w:rPr>
                <w:b w:val="0"/>
                <w:color w:val="000000"/>
                <w:sz w:val="20"/>
              </w:rPr>
              <w:t>6</w:t>
            </w:r>
          </w:p>
        </w:tc>
      </w:tr>
      <w:tr>
        <w:trPr>
          <w:cantSplit/>
        </w:trPr>
        <w:tc>
          <w:tcPr>
            <w:tcW w:type="dxa" w:w="7313"/>
            <w:shd w:fill="F2F5F7"/>
          </w:tcPr>
          <w:p>
            <w:pPr>
              <w:spacing w:after="80" w:before="80"/>
            </w:pPr>
            <w:r>
              <w:rPr>
                <w:b w:val="0"/>
                <w:color w:val="000000"/>
                <w:sz w:val="20"/>
              </w:rPr>
              <w:t>equipment</w:t>
            </w:r>
          </w:p>
        </w:tc>
        <w:tc>
          <w:tcPr>
            <w:tcW w:type="dxa" w:w="2551"/>
            <w:shd w:fill="F2F5F7"/>
          </w:tcPr>
          <w:p>
            <w:pPr>
              <w:spacing w:after="80" w:before="80"/>
            </w:pPr>
            <w:r>
              <w:rPr>
                <w:b w:val="0"/>
                <w:color w:val="000000"/>
                <w:sz w:val="20"/>
              </w:rPr>
              <w:t>21</w:t>
            </w:r>
          </w:p>
        </w:tc>
      </w:tr>
      <w:tr>
        <w:trPr>
          <w:cantSplit/>
        </w:trPr>
        <w:tc>
          <w:tcPr>
            <w:tcW w:type="dxa" w:w="7313"/>
            <w:shd w:fill="FFFFFF"/>
          </w:tcPr>
          <w:p>
            <w:pPr>
              <w:spacing w:after="80" w:before="80"/>
            </w:pPr>
            <w:r>
              <w:rPr>
                <w:b w:val="0"/>
                <w:color w:val="000000"/>
                <w:sz w:val="20"/>
              </w:rPr>
              <w:t>equipment_bom</w:t>
            </w:r>
          </w:p>
        </w:tc>
        <w:tc>
          <w:tcPr>
            <w:tcW w:type="dxa" w:w="2551"/>
            <w:shd w:fill="FFFFFF"/>
          </w:tcPr>
          <w:p>
            <w:pPr>
              <w:spacing w:after="80" w:before="80"/>
            </w:pPr>
            <w:r>
              <w:rPr>
                <w:b w:val="0"/>
                <w:color w:val="000000"/>
                <w:sz w:val="20"/>
              </w:rPr>
              <w:t>13</w:t>
            </w:r>
          </w:p>
        </w:tc>
      </w:tr>
      <w:tr>
        <w:trPr>
          <w:cantSplit/>
        </w:trPr>
        <w:tc>
          <w:tcPr>
            <w:tcW w:type="dxa" w:w="7313"/>
            <w:shd w:fill="F2F5F7"/>
          </w:tcPr>
          <w:p>
            <w:pPr>
              <w:spacing w:after="80" w:before="80"/>
            </w:pPr>
            <w:r>
              <w:rPr>
                <w:b w:val="0"/>
                <w:color w:val="000000"/>
                <w:sz w:val="20"/>
              </w:rPr>
              <w:t>functional_location</w:t>
            </w:r>
          </w:p>
        </w:tc>
        <w:tc>
          <w:tcPr>
            <w:tcW w:type="dxa" w:w="2551"/>
            <w:shd w:fill="F2F5F7"/>
          </w:tcPr>
          <w:p>
            <w:pPr>
              <w:spacing w:after="80" w:before="80"/>
            </w:pPr>
            <w:r>
              <w:rPr>
                <w:b w:val="0"/>
                <w:color w:val="000000"/>
                <w:sz w:val="20"/>
              </w:rPr>
              <w:t>9</w:t>
            </w:r>
          </w:p>
        </w:tc>
      </w:tr>
      <w:tr>
        <w:trPr>
          <w:cantSplit/>
        </w:trPr>
        <w:tc>
          <w:tcPr>
            <w:tcW w:type="dxa" w:w="7313"/>
            <w:shd w:fill="FFFFFF"/>
          </w:tcPr>
          <w:p>
            <w:pPr>
              <w:spacing w:after="80" w:before="80"/>
            </w:pPr>
            <w:r>
              <w:rPr>
                <w:b w:val="0"/>
                <w:color w:val="000000"/>
                <w:sz w:val="20"/>
              </w:rPr>
              <w:t>long_text</w:t>
            </w:r>
          </w:p>
        </w:tc>
        <w:tc>
          <w:tcPr>
            <w:tcW w:type="dxa" w:w="2551"/>
            <w:shd w:fill="FFFFFF"/>
          </w:tcPr>
          <w:p>
            <w:pPr>
              <w:spacing w:after="80" w:before="80"/>
            </w:pPr>
            <w:r>
              <w:rPr>
                <w:b w:val="0"/>
                <w:color w:val="000000"/>
                <w:sz w:val="20"/>
              </w:rPr>
              <w:t>3</w:t>
            </w:r>
          </w:p>
        </w:tc>
      </w:tr>
      <w:tr>
        <w:trPr>
          <w:cantSplit/>
        </w:trPr>
        <w:tc>
          <w:tcPr>
            <w:tcW w:type="dxa" w:w="7313"/>
            <w:shd w:fill="F2F5F7"/>
          </w:tcPr>
          <w:p>
            <w:pPr>
              <w:spacing w:after="80" w:before="80"/>
            </w:pPr>
            <w:r>
              <w:rPr>
                <w:b w:val="0"/>
                <w:color w:val="000000"/>
                <w:sz w:val="20"/>
              </w:rPr>
              <w:t>maintenance_notification</w:t>
            </w:r>
          </w:p>
        </w:tc>
        <w:tc>
          <w:tcPr>
            <w:tcW w:type="dxa" w:w="2551"/>
            <w:shd w:fill="F2F5F7"/>
          </w:tcPr>
          <w:p>
            <w:pPr>
              <w:spacing w:after="80" w:before="80"/>
            </w:pPr>
            <w:r>
              <w:rPr>
                <w:b w:val="0"/>
                <w:color w:val="000000"/>
                <w:sz w:val="20"/>
              </w:rPr>
              <w:t>17</w:t>
            </w:r>
          </w:p>
        </w:tc>
      </w:tr>
      <w:tr>
        <w:trPr>
          <w:cantSplit/>
        </w:trPr>
        <w:tc>
          <w:tcPr>
            <w:tcW w:type="dxa" w:w="7313"/>
            <w:shd w:fill="FFFFFF"/>
          </w:tcPr>
          <w:p>
            <w:pPr>
              <w:spacing w:after="80" w:before="80"/>
            </w:pPr>
            <w:r>
              <w:rPr>
                <w:b w:val="0"/>
                <w:color w:val="000000"/>
                <w:sz w:val="20"/>
              </w:rPr>
              <w:t>maintenance_order</w:t>
            </w:r>
          </w:p>
        </w:tc>
        <w:tc>
          <w:tcPr>
            <w:tcW w:type="dxa" w:w="2551"/>
            <w:shd w:fill="FFFFFF"/>
          </w:tcPr>
          <w:p>
            <w:pPr>
              <w:spacing w:after="80" w:before="80"/>
            </w:pPr>
            <w:r>
              <w:rPr>
                <w:b w:val="0"/>
                <w:color w:val="000000"/>
                <w:sz w:val="20"/>
              </w:rPr>
              <w:t>19</w:t>
            </w:r>
          </w:p>
        </w:tc>
      </w:tr>
      <w:tr>
        <w:trPr>
          <w:cantSplit/>
        </w:trPr>
        <w:tc>
          <w:tcPr>
            <w:tcW w:type="dxa" w:w="7313"/>
            <w:shd w:fill="F2F5F7"/>
          </w:tcPr>
          <w:p>
            <w:pPr>
              <w:spacing w:after="80" w:before="80"/>
            </w:pPr>
            <w:r>
              <w:rPr>
                <w:b w:val="0"/>
                <w:color w:val="000000"/>
                <w:sz w:val="20"/>
              </w:rPr>
              <w:t>maintenance_plan</w:t>
            </w:r>
          </w:p>
        </w:tc>
        <w:tc>
          <w:tcPr>
            <w:tcW w:type="dxa" w:w="2551"/>
            <w:shd w:fill="F2F5F7"/>
          </w:tcPr>
          <w:p>
            <w:pPr>
              <w:spacing w:after="80" w:before="80"/>
            </w:pPr>
            <w:r>
              <w:rPr>
                <w:b w:val="0"/>
                <w:color w:val="000000"/>
                <w:sz w:val="20"/>
              </w:rPr>
              <w:t>11</w:t>
            </w:r>
          </w:p>
        </w:tc>
      </w:tr>
      <w:tr>
        <w:trPr>
          <w:cantSplit/>
        </w:trPr>
        <w:tc>
          <w:tcPr>
            <w:tcW w:type="dxa" w:w="7313"/>
            <w:shd w:fill="FFFFFF"/>
          </w:tcPr>
          <w:p>
            <w:pPr>
              <w:spacing w:after="80" w:before="80"/>
            </w:pPr>
            <w:r>
              <w:rPr>
                <w:b w:val="0"/>
                <w:color w:val="000000"/>
                <w:sz w:val="20"/>
              </w:rPr>
              <w:t>measurement_document</w:t>
            </w:r>
          </w:p>
        </w:tc>
        <w:tc>
          <w:tcPr>
            <w:tcW w:type="dxa" w:w="2551"/>
            <w:shd w:fill="FFFFFF"/>
          </w:tcPr>
          <w:p>
            <w:pPr>
              <w:spacing w:after="80" w:before="80"/>
            </w:pPr>
            <w:r>
              <w:rPr>
                <w:b w:val="0"/>
                <w:color w:val="000000"/>
                <w:sz w:val="20"/>
              </w:rPr>
              <w:t>7</w:t>
            </w:r>
          </w:p>
        </w:tc>
      </w:tr>
      <w:tr>
        <w:trPr>
          <w:cantSplit/>
        </w:trPr>
        <w:tc>
          <w:tcPr>
            <w:tcW w:type="dxa" w:w="7313"/>
            <w:shd w:fill="F2F5F7"/>
          </w:tcPr>
          <w:p>
            <w:pPr>
              <w:spacing w:after="80" w:before="80"/>
            </w:pPr>
            <w:r>
              <w:rPr>
                <w:b w:val="0"/>
                <w:color w:val="000000"/>
                <w:sz w:val="20"/>
              </w:rPr>
              <w:t>measuring_point</w:t>
            </w:r>
          </w:p>
        </w:tc>
        <w:tc>
          <w:tcPr>
            <w:tcW w:type="dxa" w:w="2551"/>
            <w:shd w:fill="F2F5F7"/>
          </w:tcPr>
          <w:p>
            <w:pPr>
              <w:spacing w:after="80" w:before="80"/>
            </w:pPr>
            <w:r>
              <w:rPr>
                <w:b w:val="0"/>
                <w:color w:val="000000"/>
                <w:sz w:val="20"/>
              </w:rPr>
              <w:t>4</w:t>
            </w:r>
          </w:p>
        </w:tc>
      </w:tr>
      <w:tr>
        <w:trPr>
          <w:cantSplit/>
        </w:trPr>
        <w:tc>
          <w:tcPr>
            <w:tcW w:type="dxa" w:w="7313"/>
            <w:shd w:fill="FFFFFF"/>
          </w:tcPr>
          <w:p>
            <w:pPr>
              <w:spacing w:after="80" w:before="80"/>
            </w:pPr>
            <w:r>
              <w:rPr>
                <w:b w:val="0"/>
                <w:color w:val="000000"/>
                <w:sz w:val="20"/>
              </w:rPr>
              <w:t>object_partner</w:t>
            </w:r>
          </w:p>
        </w:tc>
        <w:tc>
          <w:tcPr>
            <w:tcW w:type="dxa" w:w="2551"/>
            <w:shd w:fill="FFFFFF"/>
          </w:tcPr>
          <w:p>
            <w:pPr>
              <w:spacing w:after="80" w:before="80"/>
            </w:pPr>
            <w:r>
              <w:rPr>
                <w:b w:val="0"/>
                <w:color w:val="000000"/>
                <w:sz w:val="20"/>
              </w:rPr>
              <w:t>3</w:t>
            </w:r>
          </w:p>
        </w:tc>
      </w:tr>
      <w:tr>
        <w:trPr>
          <w:cantSplit/>
        </w:trPr>
        <w:tc>
          <w:tcPr>
            <w:tcW w:type="dxa" w:w="7313"/>
            <w:shd w:fill="F2F5F7"/>
          </w:tcPr>
          <w:p>
            <w:pPr>
              <w:spacing w:after="80" w:before="80"/>
            </w:pPr>
            <w:r>
              <w:rPr>
                <w:b w:val="0"/>
                <w:color w:val="000000"/>
                <w:sz w:val="20"/>
              </w:rPr>
              <w:t>object_status</w:t>
            </w:r>
          </w:p>
        </w:tc>
        <w:tc>
          <w:tcPr>
            <w:tcW w:type="dxa" w:w="2551"/>
            <w:shd w:fill="F2F5F7"/>
          </w:tcPr>
          <w:p>
            <w:pPr>
              <w:spacing w:after="80" w:before="80"/>
            </w:pPr>
            <w:r>
              <w:rPr>
                <w:b w:val="0"/>
                <w:color w:val="000000"/>
                <w:sz w:val="20"/>
              </w:rPr>
              <w:t>6</w:t>
            </w:r>
          </w:p>
        </w:tc>
      </w:tr>
      <w:tr>
        <w:trPr>
          <w:cantSplit/>
        </w:trPr>
        <w:tc>
          <w:tcPr>
            <w:tcW w:type="dxa" w:w="7313"/>
            <w:shd w:fill="FFFFFF"/>
          </w:tcPr>
          <w:p>
            <w:pPr>
              <w:spacing w:after="80" w:before="80"/>
            </w:pPr>
            <w:r>
              <w:rPr>
                <w:b w:val="0"/>
                <w:color w:val="000000"/>
                <w:sz w:val="20"/>
              </w:rPr>
              <w:t>task_list</w:t>
            </w:r>
          </w:p>
        </w:tc>
        <w:tc>
          <w:tcPr>
            <w:tcW w:type="dxa" w:w="2551"/>
            <w:shd w:fill="FFFFFF"/>
          </w:tcPr>
          <w:p>
            <w:pPr>
              <w:spacing w:after="80" w:before="80"/>
            </w:pPr>
            <w:r>
              <w:rPr>
                <w:b w:val="0"/>
                <w:color w:val="000000"/>
                <w:sz w:val="20"/>
              </w:rPr>
              <w:t>27</w:t>
            </w:r>
          </w:p>
        </w:tc>
      </w:tr>
      <w:tr>
        <w:trPr>
          <w:cantSplit/>
        </w:trPr>
        <w:tc>
          <w:tcPr>
            <w:tcW w:type="dxa" w:w="7313"/>
            <w:shd w:fill="F2F5F7"/>
          </w:tcPr>
          <w:p>
            <w:pPr>
              <w:spacing w:after="80" w:before="80"/>
            </w:pPr>
            <w:r>
              <w:rPr>
                <w:b w:val="0"/>
                <w:color w:val="000000"/>
                <w:sz w:val="20"/>
              </w:rPr>
              <w:t>work_center</w:t>
            </w:r>
          </w:p>
        </w:tc>
        <w:tc>
          <w:tcPr>
            <w:tcW w:type="dxa" w:w="2551"/>
            <w:shd w:fill="F2F5F7"/>
          </w:tcPr>
          <w:p>
            <w:pPr>
              <w:spacing w:after="80" w:before="80"/>
            </w:pPr>
            <w:r>
              <w:rPr>
                <w:b w:val="0"/>
                <w:color w:val="000000"/>
                <w:sz w:val="20"/>
              </w:rPr>
              <w:t>15</w:t>
            </w:r>
          </w:p>
        </w:tc>
      </w:tr>
    </w:tbl>
    <w:p/>
    <w:p>
      <w:r>
        <w:t>Equipment exports one current master with standard postal address. Texts, partners, statuses and address versions remain separate. Apply the same selected Equipment cohort to every child. System statuses are reference only; user statuses require supported post-load processing. Long text content uses READ_TEXT. Use full cutover snapshots. See docs/EQUIPMENT_ARCHITECTURE.md and docs/CUSTOMER_WORKFLOW.md.</w:t>
      </w:r>
    </w:p>
    <w:p>
      <w:r>
        <w:t>Complete module and field lists are in docs/SUPPORTED_SCOPE.md, mapping and FIELD_CATALOG.csv. VDM.html shows object dependencies. The templates contain no automatic posting implementation and do not promise coverage of every SAP feature.</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ModuPorter EAM migration templates customer manual</dc:title>
  <dc:subject/>
  <dc:creator>KAOURI INNOVATECH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