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ModuPorter EWM TM FSCM EHS native Migrationsentwürfe</w:t>
      </w:r>
    </w:p>
    <w:p>
      <w:r>
        <w:t>Version 0.2.0 | 11 October 2026 | KAOURI INNOVATECH</w:t>
      </w:r>
    </w:p>
    <w:p>
      <w:r>
        <w:t>Diese Ausgabe ersetzt die Staging-Entwürfe von 0.1.0. Dokumentierte Strukturen lesen native SAP-Systemtabellen über Basic, Composite und Consumption. Zielvergleichsviews lesen ebenfalls native Tabellen. Das Paket ist unvollständig und noch nicht in SAP geprüft.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Domäne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Native Entwürfe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Offen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EWM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TM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FSCM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EHS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19</w:t>
            </w:r>
          </w:p>
        </w:tc>
      </w:tr>
    </w:tbl>
    <w:p/>
    <w:p>
      <w:r>
        <w:t>17 native Strukturentwürfe und 55 offene Strukturen im bestehenden Plan mit 32 Modulen. Auch native Entwürfe besitzen fehlende Nutzdaten; Details stehen in Native-Coverage.csv und den Produkthandbüchern. Die 94 CDS-Objekte enthalten keine kundeneigenen Stagingtabellen oder Ladeberichte.</w:t>
      </w:r>
    </w:p>
    <w:p>
      <w:pPr>
        <w:pStyle w:val="Heading2"/>
      </w:pPr>
      <w:r>
        <w:t>Beispiel mit EWM Lagerplätzen</w:t>
      </w:r>
    </w:p>
    <w:p>
      <w:r>
        <w:t>/SCWM/LAGP → ZWMX_I_StorageBinData → ZWMX_I_StorageBin → ZWMX_C_StorageBinMig</w:t>
      </w:r>
    </w:p>
    <w:p>
      <w:r>
        <w:t>Basic erhält native Felder und Schlüssel. Composite stellt dieselben Datensätze mit fachlichen Spaltennamen bereit. Consumption liefert die dokumentierte Exportstruktur. Keine zusätzliche Z-Stagingtabelle.</w:t>
      </w:r>
    </w:p>
    <w:p>
      <w:pPr>
        <w:pStyle w:val="Heading2"/>
      </w:pPr>
      <w:r>
        <w:t>Nachweise und Grenzen</w:t>
      </w:r>
    </w:p>
    <w:p>
      <w:r>
        <w:t>Öffentliche SAP-Quellen dokumentieren Tabellen und Feldverwendung. Sie bestätigen keine vollständigen DDIC-Schlüssel oder Release-Kompatibilität im Kundensystem. Aktivierung, Berechtigungen und fachliche Vollständigkeit bleiben ungeprüft. Kein Buchungsadapter ist enthalten.</w:t>
      </w:r>
    </w:p>
    <w:p>
      <w:r>
        <w:br w:type="page"/>
      </w:r>
    </w:p>
    <w:p>
      <w:pPr>
        <w:pStyle w:val="Heading1"/>
      </w:pPr>
      <w:r>
        <w:t>Installation und Prüfung</w:t>
      </w:r>
    </w:p>
    <w:p>
      <w:r>
        <w:t>1. Anwendung und Release bestätigen. EWM ist nicht LE-WM; klassische EHS-Spezifikationen sind nicht moderne EHSM-Vorfälle. Native Tabellen müssen vorhanden sein.</w:t>
      </w:r>
    </w:p>
    <w:p>
      <w:r>
        <w:t>2. Alle Felder und vollständigen Schlüssel in SE11/ADT prüfen. Den nativen Lesebericht zum Export der tatsächlichen DDIC-Metadaten nutzen; migration_ddic.py gegen die .fields.csv ausführen.</w:t>
      </w:r>
    </w:p>
    <w:p>
      <w:r>
        <w:t>3. Quell-/Ziel-ZIP getrennt importieren. ACTIVATION_ORDER.txt befolgen. Quelle verwendet klassische CDS, Ziel View Entities. Schlüssel- und Release-Annahmen vor Aktivierung prüfen.</w:t>
      </w:r>
    </w:p>
    <w:p>
      <w:r>
        <w:t>4. Erlaubte und eingeschränkte Benutzer sowie Mandantentrennung testen. Keine DCL enthalten. S_TABU_NAM im Bericht schützt nicht automatisch jeden CDS-Konsumenten.</w:t>
      </w:r>
    </w:p>
    <w:p>
      <w:r>
        <w:t>5. Consumption-Daten mit CDS-Spaltennamen exportieren. System, Mandant, Exportzeit und Population separat protokollieren. Der Tabellenbericht exportiert Rohspalten ohne Consumption-Filter.</w:t>
      </w:r>
    </w:p>
    <w:p>
      <w:r>
        <w:t>6. Freigegebene vollständige Schlüssel in customer/selection eintragen. migration_run.py mit customer/customer-cohort-project.json ausführen. Leere Auswahl erzeugt null Zeilen.</w:t>
      </w:r>
    </w:p>
    <w:p>
      <w:r>
        <w:t>7. Dieselbe Zielpopulation exportieren. Geänderte Nummern und neu erzeugte UUIDs vor dem Vergleich zuordnen und separat protokollieren. migration_prepare.py compare nutzen.</w:t>
      </w:r>
    </w:p>
    <w:p>
      <w:r>
        <w:t>8. Status, Stichtag, Eltern-/Kindbeziehungen und fehlende Nutzdaten fachlich prüfen. EHS-Änderungsstände erhalten; TM-Kategorie und Fallarten bestätigen. Zählviews zählen breite Kandidatenbestände.</w:t>
      </w:r>
    </w:p>
    <w:p>
      <w:r>
        <w:t>9. Reale SAP-Nachweise in customer/TEST_RESULTS.csv sichern. Künstliche CSV-Beispiele prüfen nur lokale Werkzeuge und dürfen nicht in SAP geladen werden.</w:t>
      </w:r>
    </w:p>
    <w:p>
      <w:r>
        <w:br w:type="page"/>
      </w:r>
    </w:p>
    <w:p>
      <w:pPr>
        <w:pStyle w:val="Heading1"/>
      </w:pPr>
      <w:r>
        <w:t>EWM</w:t>
      </w:r>
    </w:p>
    <w:p>
      <w:r>
        <w:t>4 native Entwürfe; 12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4025"/>
      </w:tblGrid>
      <w:tr>
        <w:trPr>
          <w:tblHeader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StorageBin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/SCWM/LAGP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Warehouse, StorageBin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BinSorting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/SCWM/LAGPS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Warehouse, StorageBin, ActivityArea, Activity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TaskConfirm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/SCWM/ORDIM_C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Warehouse, WarehouseTask, WarehouseTaskItem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WarehouseOrder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/SCWM/WHO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Warehouse, WarehouseOrder</w:t>
            </w:r>
          </w:p>
        </w:tc>
      </w:tr>
    </w:tbl>
    <w:p/>
    <w:p>
      <w:pPr>
        <w:pStyle w:val="Heading2"/>
      </w:pPr>
      <w:r>
        <w:t>Offene Strukturen</w:t>
      </w:r>
    </w:p>
    <w:p>
      <w:r>
        <w:t>WarehouseProd, FixedBin, WarehouseStock, StockSerial, HandlingUnit, HUContent, WarehouseTask, WhDelivery, WhDeliveryItem, PackSpec, PackLevel, PackElement.</w:t>
      </w:r>
    </w:p>
    <w:p>
      <w:pPr>
        <w:pStyle w:val="Heading2"/>
      </w:pPr>
      <w:r>
        <w:t>Unvollständige Nutzdaten</w:t>
      </w:r>
    </w:p>
    <w:p>
      <w:r>
        <w:t>Kapazitätssemantik und vollständige operative Bestände fehlen. Bestätigte Aufgaben sind Referenzdaten; offene Aufgaben sind noch nicht umgesetzt.</w:t>
      </w:r>
    </w:p>
    <w:p>
      <w:r>
        <w:t>Vollständige Feldzuordnung und Quellen: Produkthandbuch, PROVENANCE.md und Native-Coverage.csv.</w:t>
      </w:r>
    </w:p>
    <w:p>
      <w:r>
        <w:t>Products: ewm_mig_src and ewm_mig_s4</w:t>
      </w:r>
    </w:p>
    <w:p>
      <w:r>
        <w:br w:type="page"/>
      </w:r>
    </w:p>
    <w:p>
      <w:pPr>
        <w:pStyle w:val="Heading1"/>
      </w:pPr>
      <w:r>
        <w:t>TM</w:t>
      </w:r>
    </w:p>
    <w:p>
      <w:r>
        <w:t>3 native Entwürfe; 16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4025"/>
      </w:tblGrid>
      <w:tr>
        <w:trPr>
          <w:tblHeader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TransportLoc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/SAPAPO/LOC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LocationUUID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FreightUnit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/SCMTMS/D_TORROT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DocumentUUID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FreightOrder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/SCMTMS/D_TORROT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DocumentUUID</w:t>
            </w:r>
          </w:p>
        </w:tc>
      </w:tr>
    </w:tbl>
    <w:p/>
    <w:p>
      <w:pPr>
        <w:pStyle w:val="Heading2"/>
      </w:pPr>
      <w:r>
        <w:t>Offene Strukturen</w:t>
      </w:r>
    </w:p>
    <w:p>
      <w:r>
        <w:t>TransportRes, ResCapacity, TransportLane, LaneCarrier, Schedule, ScheduleStop, FreightAgree, FreightRate, FreightScale, FreightUnitItem, FreightUnitStop, FreightOrdItem, FreightOrdStop, FreightStage, FreightSettle, SettleItem.</w:t>
      </w:r>
    </w:p>
    <w:p>
      <w:pPr>
        <w:pStyle w:val="Heading2"/>
      </w:pPr>
      <w:r>
        <w:t>Unvollständige Nutzdaten</w:t>
      </w:r>
    </w:p>
    <w:p>
      <w:r>
        <w:t>Wurzelviews liefern keine vollständigen Frachteinheiten oder Frachtaufträge. Positionen, Stopps, Etappen und Buchungen sind offen. UUIDs und Kategorien prüfen.</w:t>
      </w:r>
    </w:p>
    <w:p>
      <w:r>
        <w:t>Vollständige Feldzuordnung und Quellen: Produkthandbuch, PROVENANCE.md und Native-Coverage.csv.</w:t>
      </w:r>
    </w:p>
    <w:p>
      <w:r>
        <w:t>Products: tm_mig_src and tm_mig_s4</w:t>
      </w:r>
    </w:p>
    <w:p>
      <w:r>
        <w:br w:type="page"/>
      </w:r>
    </w:p>
    <w:p>
      <w:pPr>
        <w:pStyle w:val="Heading1"/>
      </w:pPr>
      <w:r>
        <w:t>FSCM</w:t>
      </w:r>
    </w:p>
    <w:p>
      <w:r>
        <w:t>6 native Entwürfe; 8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4025"/>
      </w:tblGrid>
      <w:tr>
        <w:trPr>
          <w:tblHeader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CreditProfile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UKMBP_CMS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BusinessPartner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CreditSegment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UKMBP_CMS_SGM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BusinessPartner, CreditSegment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CollectContact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UDM_CCT_ATTR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ContactUUID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PaymentPromise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UDM_P2P_ATTR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CaseUUID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DisputeCase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UDMCASEATTR00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CaseUUID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CaseAttribute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SCMG_T_CASE_ATTR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CaseUUID</w:t>
            </w:r>
          </w:p>
        </w:tc>
      </w:tr>
    </w:tbl>
    <w:p/>
    <w:p>
      <w:pPr>
        <w:pStyle w:val="Heading2"/>
      </w:pPr>
      <w:r>
        <w:t>Offene Strukturen</w:t>
      </w:r>
    </w:p>
    <w:p>
      <w:r>
        <w:t>CreditRelation, CreditExposure, CollectProfile, CollectSegment, CollectTask, PromiseItem, DisputeItem, CaseAttachment.</w:t>
      </w:r>
    </w:p>
    <w:p>
      <w:pPr>
        <w:pStyle w:val="Heading2"/>
      </w:pPr>
      <w:r>
        <w:t>Unvollständige Nutzdaten</w:t>
      </w:r>
    </w:p>
    <w:p>
      <w:r>
        <w:t>Kreditlimit und Währungsbezug, Beträge, Rechnungsverknüpfungen und Anlagen sind teilweise offen. Allgemeine Fallattribute enthalten mehrere Fallarten.</w:t>
      </w:r>
    </w:p>
    <w:p>
      <w:r>
        <w:t>Vollständige Feldzuordnung und Quellen: Produkthandbuch, PROVENANCE.md und Native-Coverage.csv.</w:t>
      </w:r>
    </w:p>
    <w:p>
      <w:r>
        <w:t>Products: fscm_mig_src and fscm_mig_s4</w:t>
      </w:r>
    </w:p>
    <w:p>
      <w:r>
        <w:br w:type="page"/>
      </w:r>
    </w:p>
    <w:p>
      <w:pPr>
        <w:pStyle w:val="Heading1"/>
      </w:pPr>
      <w:r>
        <w:t>EHS</w:t>
      </w:r>
    </w:p>
    <w:p>
      <w:r>
        <w:t>4 native Entwürfe; 19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4025"/>
      </w:tblGrid>
      <w:tr>
        <w:trPr>
          <w:tblHeader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Specification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ESTRH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SpecIdentifier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ESTRI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Phrase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ESTPH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PhraseSet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ESTPJ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</w:tbl>
    <w:p/>
    <w:p>
      <w:pPr>
        <w:pStyle w:val="Heading2"/>
      </w:pPr>
      <w:r>
        <w:t>Offene Strukturen</w:t>
      </w:r>
    </w:p>
    <w:p>
      <w:r>
        <w:t>EHSLocation, EHSLocHierarchy, ChemicalProp, PropertyUnit, SpecProperty, Incident, IncidentPerson, IncidentAction, RiskAssessment, RiskHazard, RiskControl, DataClassifier, DataCollection, Measurement, ComplianceReq, ComplianceScen, ComplianceLink, DangerousGoods, DGTransport.</w:t>
      </w:r>
    </w:p>
    <w:p>
      <w:pPr>
        <w:pStyle w:val="Heading2"/>
      </w:pPr>
      <w:r>
        <w:t>Unvollständige Nutzdaten</w:t>
      </w:r>
    </w:p>
    <w:p>
      <w:r>
        <w:t>RECN und ACTN erhalten den Änderungsstand. Kein ungeprüfter Filter auf aktuelle Datensätze. Phrasen liefern Kopf-/Zuordnungsdaten; mehrsprachige Texte, Eigenschaften und moderne EHSM-Objekte bleiben offen.</w:t>
      </w:r>
    </w:p>
    <w:p>
      <w:r>
        <w:t>Vollständige Feldzuordnung und Quellen: Produkthandbuch, PROVENANCE.md und Native-Coverage.csv.</w:t>
      </w:r>
    </w:p>
    <w:p>
      <w:r>
        <w:t>Products: ehs_mig_src and ehs_mig_s4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ModuPorter EWM TM FSCM EHS native Migrationsentwürfe</dc:title>
  <dc:subject/>
  <dc:creator>KAOURI INNOVATECH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