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5</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85</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60</w:t>
            </w:r>
          </w:p>
        </w:tc>
        <w:tc>
          <w:tcPr>
            <w:tcW w:type="dxa" w:w="2324"/>
            <w:shd w:fill="F2F5F7"/>
          </w:tcPr>
          <w:p>
            <w:pPr>
              <w:spacing w:after="80" w:before="80"/>
            </w:pPr>
            <w:r>
              <w:rPr>
                <w:b w:val="0"/>
                <w:color w:val="000000"/>
                <w:sz w:val="20"/>
              </w:rPr>
              <w:t>4</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14</w:t>
            </w:r>
          </w:p>
        </w:tc>
        <w:tc>
          <w:tcPr>
            <w:tcW w:type="dxa" w:w="2324"/>
            <w:shd w:fill="FFFFFF"/>
          </w:tcPr>
          <w:p>
            <w:pPr>
              <w:spacing w:after="80" w:before="80"/>
            </w:pPr>
            <w:r>
              <w:rPr>
                <w:b w:val="0"/>
                <w:color w:val="000000"/>
                <w:sz w:val="20"/>
              </w:rPr>
              <w:t>49</w:t>
            </w:r>
          </w:p>
        </w:tc>
        <w:tc>
          <w:tcPr>
            <w:tcW w:type="dxa" w:w="2324"/>
            <w:shd w:fill="FFFFFF"/>
          </w:tcPr>
          <w:p>
            <w:pPr>
              <w:spacing w:after="80" w:before="80"/>
            </w:pPr>
            <w:r>
              <w:rPr>
                <w:b w:val="0"/>
                <w:color w:val="000000"/>
                <w:sz w:val="20"/>
              </w:rPr>
              <w:t>4</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17</w:t>
            </w:r>
          </w:p>
        </w:tc>
        <w:tc>
          <w:tcPr>
            <w:tcW w:type="dxa" w:w="2324"/>
            <w:shd w:fill="F2F5F7"/>
          </w:tcPr>
          <w:p>
            <w:pPr>
              <w:spacing w:after="80" w:before="80"/>
            </w:pPr>
            <w:r>
              <w:rPr>
                <w:b w:val="0"/>
                <w:color w:val="000000"/>
                <w:sz w:val="20"/>
              </w:rPr>
              <w:t>57</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13</w:t>
            </w:r>
          </w:p>
        </w:tc>
        <w:tc>
          <w:tcPr>
            <w:tcW w:type="dxa" w:w="2324"/>
            <w:shd w:fill="FFFFFF"/>
          </w:tcPr>
          <w:p>
            <w:pPr>
              <w:spacing w:after="80" w:before="80"/>
            </w:pPr>
            <w:r>
              <w:rPr>
                <w:b w:val="0"/>
                <w:color w:val="000000"/>
                <w:sz w:val="20"/>
              </w:rPr>
              <w:t>46</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20</w:t>
            </w:r>
          </w:p>
        </w:tc>
        <w:tc>
          <w:tcPr>
            <w:tcW w:type="dxa" w:w="2324"/>
            <w:shd w:fill="F2F5F7"/>
          </w:tcPr>
          <w:p>
            <w:pPr>
              <w:spacing w:after="80" w:before="80"/>
            </w:pPr>
            <w:r>
              <w:rPr>
                <w:b w:val="0"/>
                <w:color w:val="000000"/>
                <w:sz w:val="20"/>
              </w:rPr>
              <w:t>67</w:t>
            </w:r>
          </w:p>
        </w:tc>
        <w:tc>
          <w:tcPr>
            <w:tcW w:type="dxa" w:w="2324"/>
            <w:shd w:fill="F2F5F7"/>
          </w:tcPr>
          <w:p>
            <w:pPr>
              <w:spacing w:after="80" w:before="80"/>
            </w:pPr>
            <w:r>
              <w:rPr>
                <w:b w:val="0"/>
                <w:color w:val="000000"/>
                <w:sz w:val="20"/>
              </w:rPr>
              <w:t>6</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16</w:t>
            </w:r>
          </w:p>
        </w:tc>
        <w:tc>
          <w:tcPr>
            <w:tcW w:type="dxa" w:w="2324"/>
            <w:shd w:fill="FFFFFF"/>
          </w:tcPr>
          <w:p>
            <w:pPr>
              <w:spacing w:after="80" w:before="80"/>
            </w:pPr>
            <w:r>
              <w:rPr>
                <w:b w:val="0"/>
                <w:color w:val="000000"/>
                <w:sz w:val="20"/>
              </w:rPr>
              <w:t>52</w:t>
            </w:r>
          </w:p>
        </w:tc>
        <w:tc>
          <w:tcPr>
            <w:tcW w:type="dxa" w:w="2324"/>
            <w:shd w:fill="FFFFFF"/>
          </w:tcPr>
          <w:p>
            <w:pPr>
              <w:spacing w:after="80" w:before="80"/>
            </w:pPr>
            <w:r>
              <w:rPr>
                <w:b w:val="0"/>
                <w:color w:val="000000"/>
                <w:sz w:val="20"/>
              </w:rPr>
              <w:t>6</w:t>
            </w:r>
          </w:p>
        </w:tc>
      </w:tr>
    </w:tbl>
    <w:p/>
    <w:p>
      <w:pPr>
        <w:pStyle w:val="Heading2"/>
      </w:pPr>
      <w:r>
        <w:t>Architecture</w:t>
      </w:r>
    </w:p>
    <w:p>
      <w:r>
        <w:t>SAP table → Basic → Composite →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fi_aa_mig_ecc fixed_asset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p>
      <w:pPr>
        <w:pStyle w:val="Heading2"/>
      </w:pPr>
      <w:r>
        <w:t>FI_AA</w:t>
      </w:r>
    </w:p>
    <w:p>
      <w:r>
        <w:t>Agree depreciation areas, currencies, fiscal years and transfer dates. ANLC holds annual accumulations, not posting instructions. Avoid duplicate asset and general-ledger balances; use a supported interface for Universal Parallel Accounting.</w:t>
      </w:r>
    </w:p>
    <w:p>
      <w:pPr>
        <w:pStyle w:val="Heading2"/>
      </w:pPr>
      <w:r>
        <w:t>MM</w:t>
      </w:r>
    </w:p>
    <w:p>
      <w:r>
        <w:t>Define batch, special-stock and inventory scope. Determine open purchasing items from receipts, invoices and remaining quantities.</w:t>
      </w:r>
    </w:p>
    <w:p>
      <w:pPr>
        <w:pStyle w:val="Heading2"/>
      </w:pPr>
      <w:r>
        <w:t>QM</w:t>
      </w:r>
    </w:p>
    <w:p>
      <w:r>
        <w:t>Retain inspection lot, result and decision status. Inspection plans need effective assignments, operations and characteristics.</w:t>
      </w:r>
    </w:p>
    <w:p>
      <w:pPr>
        <w:pStyle w:val="Heading2"/>
      </w:pPr>
      <w:r>
        <w:t>PS</w:t>
      </w:r>
    </w:p>
    <w:p>
      <w:r>
        <w:t>Map internal and external project and WBS identifiers. Build the hierarchy using target identifiers.</w:t>
      </w:r>
    </w:p>
    <w:p>
      <w:pPr>
        <w:pStyle w:val="Heading2"/>
      </w:pPr>
      <w:r>
        <w:t>PP</w:t>
      </w:r>
    </w:p>
    <w:p>
      <w:r>
        <w:t>Select BOMs and task lists by cutover date, change state, usage and alternative. Order history is reference data, not new postings.</w:t>
      </w:r>
    </w:p>
    <w:p>
      <w:pPr>
        <w:pStyle w:val="Heading2"/>
      </w:pPr>
      <w:r>
        <w:t>CO</w:t>
      </w:r>
    </w:p>
    <w:p>
      <w:r>
        <w:t>Agree cost centers, profit centers, validity periods and currencies. Reconcile movements separately from balances.</w:t>
      </w:r>
    </w:p>
    <w:p>
      <w:pPr>
        <w:pStyle w:val="Heading2"/>
      </w:pPr>
      <w:r>
        <w:t>FI</w:t>
      </w:r>
    </w:p>
    <w:p>
      <w:r>
        <w:t>Map accounts, organizations, fiscal years and currencies. Transfer open items and balances without duplicate postings.</w:t>
      </w:r>
    </w:p>
    <w:p>
      <w:pPr>
        <w:pStyle w:val="Heading2"/>
      </w:pPr>
      <w:r>
        <w:t>SD</w:t>
      </w:r>
    </w:p>
    <w:p>
      <w:r>
        <w:t>Respect document status, partners, schedule lines and open quantities. Map history and document flow using target identifiers.</w:t>
      </w:r>
    </w:p>
    <w:p>
      <w:r>
        <w:t>Complete module and field lists are in docs/SUPPORTED_SCOPE.md, mapping and FIELD_CATALOG.csv. VDM.html shows object dependencies. The templates contain no automatic posting implementation and do not promise coverage of every SAP feature.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