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 templates customer manual</w:t>
      </w:r>
    </w:p>
    <w:p>
      <w:r>
        <w:t>Version 1.0.0</w:t>
      </w:r>
    </w:p>
    <w:p>
      <w:r>
        <w:t>This manual explains installation, module selection and source extraction for the supplied migration templates. Each pack contains a SOURCE import archive with CDS views, field mappings, preparation tools and a VDM map. Extracted data is loaded through the SAP interface chosen by the customer.</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6</w:t>
            </w:r>
          </w:p>
        </w:tc>
        <w:tc>
          <w:tcPr>
            <w:tcW w:type="dxa" w:w="2324"/>
            <w:shd w:fill="F2F5F7"/>
          </w:tcPr>
          <w:p>
            <w:pPr>
              <w:spacing w:after="80" w:before="80"/>
            </w:pPr>
            <w:r>
              <w:rPr>
                <w:b w:val="0"/>
                <w:color w:val="000000"/>
                <w:sz w:val="20"/>
              </w:rPr>
              <w:t>21</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42</w:t>
            </w:r>
          </w:p>
        </w:tc>
        <w:tc>
          <w:tcPr>
            <w:tcW w:type="dxa" w:w="2324"/>
            <w:shd w:fill="FFFFFF"/>
          </w:tcPr>
          <w:p>
            <w:pPr>
              <w:spacing w:after="80" w:before="80"/>
            </w:pPr>
            <w:r>
              <w:rPr>
                <w:b w:val="0"/>
                <w:color w:val="000000"/>
                <w:sz w:val="20"/>
              </w:rPr>
              <w:t>135</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26</w:t>
            </w:r>
          </w:p>
        </w:tc>
        <w:tc>
          <w:tcPr>
            <w:tcW w:type="dxa" w:w="2324"/>
            <w:shd w:fill="F2F5F7"/>
          </w:tcPr>
          <w:p>
            <w:pPr>
              <w:spacing w:after="80" w:before="80"/>
            </w:pPr>
            <w:r>
              <w:rPr>
                <w:b w:val="0"/>
                <w:color w:val="000000"/>
                <w:sz w:val="20"/>
              </w:rPr>
              <w:t>83</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30</w:t>
            </w:r>
          </w:p>
        </w:tc>
        <w:tc>
          <w:tcPr>
            <w:tcW w:type="dxa" w:w="2324"/>
            <w:shd w:fill="FFFFFF"/>
          </w:tcPr>
          <w:p>
            <w:pPr>
              <w:spacing w:after="80" w:before="80"/>
            </w:pPr>
            <w:r>
              <w:rPr>
                <w:b w:val="0"/>
                <w:color w:val="000000"/>
                <w:sz w:val="20"/>
              </w:rPr>
              <w:t>93</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22</w:t>
            </w:r>
          </w:p>
        </w:tc>
        <w:tc>
          <w:tcPr>
            <w:tcW w:type="dxa" w:w="2324"/>
            <w:shd w:fill="F2F5F7"/>
          </w:tcPr>
          <w:p>
            <w:pPr>
              <w:spacing w:after="80" w:before="80"/>
            </w:pPr>
            <w:r>
              <w:rPr>
                <w:b w:val="0"/>
                <w:color w:val="000000"/>
                <w:sz w:val="20"/>
              </w:rPr>
              <w:t>72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70</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50</w:t>
            </w:r>
          </w:p>
        </w:tc>
        <w:tc>
          <w:tcPr>
            <w:tcW w:type="dxa" w:w="2324"/>
            <w:shd w:fill="F2F5F7"/>
          </w:tcPr>
          <w:p>
            <w:pPr>
              <w:spacing w:after="80" w:before="80"/>
            </w:pPr>
            <w:r>
              <w:rPr>
                <w:b w:val="0"/>
                <w:color w:val="000000"/>
                <w:sz w:val="20"/>
              </w:rPr>
              <w:t>152</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78</w:t>
            </w:r>
          </w:p>
        </w:tc>
      </w:tr>
    </w:tbl>
    <w:p>
      <w:r/>
    </w:p>
    <w:p>
      <w:pPr>
        <w:pStyle w:val="Heading2"/>
      </w:pPr>
      <w:r>
        <w:t>Architecture</w:t>
      </w:r>
    </w:p>
    <w:p>
      <w:r>
        <w:t>SAP table → B_ Basic → I_ Interface → C_ Consumption</w:t>
      </w:r>
    </w:p>
    <w:p>
      <w:r>
        <w:t>Basic reads native tables and preserves their data grain. Composite exposes business columns and relationships. Consumption provides the documented export structures. Repeating children remain separate and follow the selected parent population.</w:t>
      </w:r>
    </w:p>
    <w:p>
      <w:pPr>
        <w:pStyle w:val="Heading2"/>
      </w:pPr>
      <w:r>
        <w:t>Delivery contents</w:t>
      </w:r>
    </w:p>
    <w:p>
      <w:r>
        <w:t>Included are CDS sources, abapGit metadata, field mappings, activation order, scope documentation, license and a VDM map. Python tools support source selection and preparation. Optional ABAP reports are created separately in SE38.</w:t>
      </w:r>
    </w:p>
    <w:p>
      <w:r>
        <w:t>The license allows unlimited use and modification for internal and client implementations. Resale of the template library is excluded. See docs/LICENSE.md for the terms.</w:t>
      </w:r>
    </w:p>
    <w:p>
      <w:r/>
    </w:p>
    <w:p>
      <w:pPr>
        <w:pStyle w:val="Heading1"/>
        <w:pageBreakBefore/>
      </w:pPr>
      <w:r>
        <w:t>Installation and use</w:t>
      </w:r>
    </w:p>
    <w:p>
      <w:r>
        <w:t>1. Extract the SOURCE archive and import it into your source system.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Apply the selected source population consistently to masters and children. Preserve internal keys, languages, validity intervals and relationships.</w:t>
      </w:r>
    </w:p>
    <w:p>
      <w:r>
        <w:t>7. Implement target creation, transaction handling and error recovery through an appropriate SAP API or BAPI. Do not write directly to application tables.</w:t>
      </w:r>
    </w:p>
    <w:p>
      <w:pPr>
        <w:pStyle w:val="Heading2"/>
      </w:pPr>
      <w:r>
        <w:t>Module selection</w:t>
      </w:r>
    </w:p>
    <w:p>
      <w:r>
        <w:t>python build_package.py --product fi_aa_mig_ecc fixed_asset --out source.zip</w:t>
      </w:r>
    </w:p>
    <w:p>
      <w:r>
        <w:t>Run the builder in the GitHub checkout on your workstation. Required modules are included automatically. For the complete product use --all instead of a module name. An individual view needs every referenced view.</w:t>
      </w:r>
    </w:p>
    <w:p>
      <w:r/>
    </w:p>
    <w:p>
      <w:pPr>
        <w:pStyle w:val="Heading1"/>
        <w:pageBreakBefore/>
      </w:pPr>
      <w:r>
        <w:t>Scope and business rules</w:t>
      </w:r>
    </w:p>
    <w:p>
      <w:pPr>
        <w:pStyle w:val="Heading2"/>
      </w:pPr>
      <w:r>
        <w:t>FI_AA</w:t>
      </w:r>
    </w:p>
    <w:p>
      <w:r>
        <w:t>Agree depreciation areas, currencies, fiscal years and transfer dates. ANLC holds annual accumulations, not posting instructions. Avoid duplicate asset and general-ledger balances; use a supported interface for Universal Parallel Accounting.</w:t>
      </w:r>
    </w:p>
    <w:p>
      <w:pPr>
        <w:pStyle w:val="Heading2"/>
      </w:pPr>
      <w:r>
        <w:t>MM</w:t>
      </w:r>
    </w:p>
    <w:p>
      <w:r>
        <w:t>Define batch, special-stock and inventory scope. Determine open purchasing items from receipts, invoices and remaining quantities.</w:t>
      </w:r>
    </w:p>
    <w:p>
      <w:pPr>
        <w:pStyle w:val="Heading2"/>
      </w:pPr>
      <w:r>
        <w:t>QM</w:t>
      </w:r>
    </w:p>
    <w:p>
      <w:r>
        <w:t>Retain inspection lot, result and decision status. Inspection plans need effective assignments, operations and characteristics.</w:t>
      </w:r>
    </w:p>
    <w:p>
      <w:pPr>
        <w:pStyle w:val="Heading2"/>
      </w:pPr>
      <w:r>
        <w:t>PS</w:t>
      </w:r>
    </w:p>
    <w:p>
      <w:r>
        <w:t>Map internal and external project and WBS identifiers. Build the hierarchy using target identifiers.</w:t>
      </w:r>
    </w:p>
    <w:p>
      <w:pPr>
        <w:pStyle w:val="Heading2"/>
      </w:pPr>
      <w:r>
        <w:t>PP</w:t>
      </w:r>
    </w:p>
    <w:p>
      <w:r>
        <w:t>Select BOMs and task lists by cutover date, change state, usage and alternative. Order history is reference data, not new postings.</w:t>
      </w:r>
    </w:p>
    <w:p>
      <w:pPr>
        <w:pStyle w:val="Heading2"/>
      </w:pPr>
      <w:r>
        <w:t>CO</w:t>
      </w:r>
    </w:p>
    <w:p>
      <w:r>
        <w:t>Agree cost centers, profit centers, validity periods and currencies. Reconcile movements separately from balances.</w:t>
      </w:r>
    </w:p>
    <w:p>
      <w:pPr>
        <w:pStyle w:val="Heading2"/>
      </w:pPr>
      <w:r>
        <w:t>FI</w:t>
      </w:r>
    </w:p>
    <w:p>
      <w:r>
        <w:t>Map accounts, organizations, fiscal years and currencies. Transfer open items and balances without duplicate postings.</w:t>
      </w:r>
    </w:p>
    <w:p>
      <w:pPr>
        <w:pStyle w:val="Heading2"/>
      </w:pPr>
      <w:r>
        <w:t>SD</w:t>
      </w:r>
    </w:p>
    <w:p>
      <w:r>
        <w:t>Respect document status, partners, schedule lines and open quantities. Map history and document flow using target identifiers.</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MM classifications require owner mapping from docs/CLASSIFICATION_WORKFLOW.md.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 templates customer manual</dc:title>
  <dc:subject/>
  <dc:creator>ModuPorter</dc:creator>
  <cp:keywords/>
  <dc:description>generated by python-docx</dc:description>
  <cp:lastModifiedBy/>
  <cp:revision>1</cp:revision>
  <dcterms:created xsi:type="dcterms:W3CDTF">2013-12-23T23:15:00Z</dcterms:created>
  <dcterms:modified xsi:type="dcterms:W3CDTF">2013-12-23T23:15:00Z</dcterms:modified>
  <cp:category/>
</cp:coreProperties>
</file>