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SAP Domänen Migrationshandbuch</w:t>
      </w:r>
    </w:p>
    <w:p>
      <w:r>
        <w:t>Version 0.2.0  |  11. Oktober 2026</w:t>
      </w:r>
    </w:p>
    <w:p>
      <w:r>
        <w:t>Dieses Handbuch führt SAP Fachberater und ABAP Entwickler durch die acht neuen Domänenpakete. Sie enthalten ECC Extraktionsvorlagen, Aufbereitung und Zielvergleiche. Die Entwürfe wurden lokal geprüft, aber noch nicht in SAP aktiviert oder durch eine Probebeladung validiert.</w:t>
      </w:r>
    </w:p>
    <w:tbl>
      <w:tblPr>
        <w:tblW w:type="auto" w:w="0"/>
        <w:tblLayout w:type="fixed"/>
        <w:tblLook w:firstColumn="1" w:firstRow="1" w:lastColumn="0" w:lastRow="0" w:noHBand="0" w:noVBand="1" w:val="04A0"/>
      </w:tblPr>
      <w:tblGrid>
        <w:gridCol w:w="4195"/>
        <w:gridCol w:w="1191"/>
        <w:gridCol w:w="1191"/>
        <w:gridCol w:w="1191"/>
        <w:gridCol w:w="1191"/>
      </w:tblGrid>
      <w:tr>
        <w:trPr>
          <w:tblHeader/>
          <w:cantSplit/>
        </w:trPr>
        <w:tc>
          <w:tcPr>
            <w:tcW w:type="dxa" w:w="4195"/>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pPr>
            <w:r>
              <w:rPr>
                <w:b/>
                <w:color w:val="FFFFFF"/>
                <w:sz w:val="20"/>
              </w:rPr>
              <w:t>Domäne</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Module</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Strukturen</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ECC</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Anlagenbuchhaltung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3</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Materialwirtschaft</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26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85</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Qualitätsmanagement</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60</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Projektsystem</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49</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Produktionsplanung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Controlling</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13</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Finanzbuchhaltung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20</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Vertrieb</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52</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bl>
    <w:p/>
    <w:p>
      <w:r>
        <w:t>Insgesamt 47 Fachmodule, 129 Extraktionsstrukturen, 1164 zugeordnete Felder und 470 CDS Views. Jede Struktur hat einen CSV Vertrag für den Zielvergleich. Die 36 S4 Views sind Kandidaten für ausgewählte Hauptobjekte. Bestehende analytische Berichte bleiben in ihren ursprünglichen Produktordnern.</w:t>
      </w:r>
    </w:p>
    <w:p>
      <w:pPr>
        <w:pStyle w:val="Heading2"/>
      </w:pPr>
      <w:r>
        <w:t>Architektur und Verantwortung</w:t>
      </w:r>
    </w:p>
    <w:p>
      <w:r>
        <w:t>SAP Quelle → Basic → Composite → Consumption. Basic erhält den nativen Tabellenschlüssel, Composite legt die Feldnamen fest und Consumption liefert getrennte Kandidatenstrukturen für Kopf und Details. Das vermeidet eine Vervielfachung von Kopfzeilen durch Detail Joins. Die freigegebene Auswahl, SAP Effektivität, Schlüsselumsetzung und Zielbeladung liefert der Kunde.</w:t>
      </w:r>
    </w:p>
    <w:p>
      <w:r>
        <w:br w:type="page"/>
      </w:r>
    </w:p>
    <w:p>
      <w:pPr>
        <w:pStyle w:val="Heading1"/>
      </w:pPr>
      <w:r>
        <w:t>Installation und Kundenprüfung</w:t>
      </w:r>
    </w:p>
    <w:p>
      <w:r>
        <w:t>1. Release und Mandant festhalten. Quellfelder, vollständige DDIC Schlüssel, Ziel CDS Freigabe und Berechtigungen anhand OPEN_CHECKS und DDIC_REQUIREMENTS prüfen.</w:t>
      </w:r>
    </w:p>
    <w:p>
      <w:r>
        <w:t>2. ECC und S4 ZIP getrennt importieren. Benötigte Module und Abhängigkeiten wählen; Objekte gemäß ACTIVATION_ORDER aktivieren. ABAP Tabellenberichte separat in SE38 anlegen.</w:t>
      </w:r>
    </w:p>
    <w:p>
      <w:r>
        <w:t>3. Zuerst customer/examples/project.json lokal ausführen. Das Beispiel enthält künstliche Daten und ersetzt keinen SAP Test. Python 3.10 oder höher genügt.</w:t>
      </w:r>
    </w:p>
    <w:p>
      <w:r>
        <w:t>4. UTF-8 CSV mit internen Schlüsseln exportieren. Führende Nullen erhalten. Stichtag, Löschungen und Prozessstatus fachlich freigeben.</w:t>
      </w:r>
    </w:p>
    <w:p>
      <w:r>
        <w:t>5. Vollständige freigegebene Schlüssel jeder Struktur in customer/selection eintragen. Abhängige Details gegen freigegebene Eltern prüfen. Leere Auswahldateien liefern keine Zeilen.</w:t>
      </w:r>
    </w:p>
    <w:p>
      <w:r>
        <w:t>6. Intervalle und Änderungsstände zuerst auflösen. NativeEligible kommt aus einer geprüften SAP Bewertung. Doppelte Exportschlüssel und fehlende freigegebene Schlüssel stoppen die Aufbereitung.</w:t>
      </w:r>
    </w:p>
    <w:p>
      <w:r>
        <w:t>7. migration_run.py mit customer/customer-cohort-project.json und einem neuen Ausgabeverzeichnis ausführen. Audit Hashes und die freigegebenen Daten aufbewahren.</w:t>
      </w:r>
    </w:p>
    <w:p>
      <w:r>
        <w:t>8. Daten an eine unterstützte Zielschnittstelle anpassen. Neue Nummern, Fehler und Anwendungsprotokolle sichern. Historische Referenzdaten nicht automatisch buchen.</w:t>
      </w:r>
    </w:p>
    <w:p>
      <w:r>
        <w:t>9. Dieselbe Zielpopulation mit customer/target-adapters.json exportieren. Jede relevante Struktur mit migration_prepare.py compare und mapping/&lt;module&gt;/mapping.json vergleichen.</w:t>
      </w:r>
    </w:p>
    <w:p>
      <w:r>
        <w:t>10. Beträge, Mengen, Vorzeichen und Währungen zusätzlich mit migration_business.py totals unter geprüftem Vertrag abstimmen. CDS Zählviews zählen ungefilterte Kandidaten; die Abnahme nutzt aufbereitete Daten.</w:t>
      </w:r>
    </w:p>
    <w:p>
      <w:r>
        <w:br w:type="page"/>
      </w:r>
    </w:p>
    <w:p>
      <w:pPr>
        <w:pStyle w:val="Heading1"/>
      </w:pPr>
      <w:r>
        <w:t>Domänenumfang 1</w:t>
      </w:r>
    </w:p>
    <w:p>
      <w:pPr>
        <w:pStyle w:val="Heading2"/>
      </w:pPr>
      <w:r>
        <w:t>Anlagenbuchhaltung</w:t>
      </w:r>
    </w:p>
    <w:p>
      <w:r>
        <w:t>Module: fixed_asset, asset_transaction, asset_balance.</w:t>
      </w:r>
    </w:p>
    <w:p>
      <w:r>
        <w:t>Quelltabellen: ANEP, ANLA, ANLB, ANLC, ANLZ.</w:t>
      </w:r>
    </w:p>
    <w:p>
      <w:r>
        <w:t>Abschreibungsbereiche, Geschäftsjahre und Übernahmedatum müssen feststehen. ANLC ist keine fertige Buchungsdatei. Anlagenbestände dürfen nicht zusätzlich als Sachkontenanfangsbestand übernommen werden. Universal Parallel Accounting benötigt eine gesonderte Schnittstellenprüfung.</w:t>
      </w:r>
    </w:p>
    <w:p>
      <w:r>
        <w:t>Paketordner: fi_aa_mig_ecc und fi_aa_mig_s4.</w:t>
      </w:r>
    </w:p>
    <w:p>
      <w:pPr>
        <w:pStyle w:val="Heading2"/>
      </w:pPr>
      <w:r>
        <w:t>Materialwirtschaft</w:t>
      </w:r>
    </w:p>
    <w:p>
      <w:r>
        <w:t>Module: product, material_stock, goods_movement, purchase_requisition, purchase_order, purchasing_info_record, purchasing_contract.</w:t>
      </w:r>
    </w:p>
    <w:p>
      <w:r>
        <w:t>Quelltabellen: EBAN, EBKN, EINA, EINE, EKBE, EKET, EKKN, EKKO, EKPO, MAKT, MARA, MARC, MARD, MARM, MBEW, MCH1, MCHA, MCHB, MKPF, MSEG, MSKA, MSLB.</w:t>
      </w:r>
    </w:p>
    <w:p>
      <w:r>
        <w:t>Bestände benötigen einen eingefrorenen und abgestimmten Stichtag einschließlich Chargen und Sonderbeständen. MARD allein deckt nicht alle Bestände ab. Offene Einkaufsbelege erfordern die Prüfung von Löschung, Wareneingang, Rechnung und Restmengen.</w:t>
      </w:r>
    </w:p>
    <w:p>
      <w:r>
        <w:t>Paketordner: mm_mig_ecc und mm_mig_s4.</w:t>
      </w:r>
    </w:p>
    <w:p>
      <w:r>
        <w:br w:type="page"/>
      </w:r>
    </w:p>
    <w:p>
      <w:pPr>
        <w:pStyle w:val="Heading1"/>
      </w:pPr>
      <w:r>
        <w:t>Domänenumfang 2</w:t>
      </w:r>
    </w:p>
    <w:p>
      <w:pPr>
        <w:pStyle w:val="Heading2"/>
      </w:pPr>
      <w:r>
        <w:t>Qualitätsmanagement</w:t>
      </w:r>
    </w:p>
    <w:p>
      <w:r>
        <w:t>Module: inspection_lot, inspection_result, quality_notification, inspection_plan, master_inspection_characteristic, sampling_procedure.</w:t>
      </w:r>
    </w:p>
    <w:p>
      <w:r>
        <w:t>Quelltabellen: MAPL, PLAS, PLKO, PLMK, PLPO, QALS, QAMR, QAMV, QASE, QAVE, QDSV, QMEL, QMFE, QMMA, QMSM, QMUR, QPMK, QPMT.</w:t>
      </w:r>
    </w:p>
    <w:p>
      <w:r>
        <w:t>Prüflose, Ergebnisse und Verwendungsentscheide benötigen passende Prozesszustände. Prüfpläne benötigen wirksame Vorgänge, Merkmale und Materialzuordnungen. Ergebnisse bleiben Referenzdaten bis zur Freigabe einer unterstützten Schnittstelle.</w:t>
      </w:r>
    </w:p>
    <w:p>
      <w:r>
        <w:t>Paketordner: qm_mig_ecc und qm_mig_s4.</w:t>
      </w:r>
    </w:p>
    <w:p>
      <w:pPr>
        <w:pStyle w:val="Heading2"/>
      </w:pPr>
      <w:r>
        <w:t>Projektsystem</w:t>
      </w:r>
    </w:p>
    <w:p>
      <w:r>
        <w:t>Module: project, wbs_element, project_cost, network, budget, commitment, investment_measure.</w:t>
      </w:r>
    </w:p>
    <w:p>
      <w:r>
        <w:t>Quelltabellen: AFKO, AFVC, AFVV, AUFK, BPGE, BPJA, COEP, COOI, IMPR, IMTP, IMZO, PRHI, PROJ, PRPS.</w:t>
      </w:r>
    </w:p>
    <w:p>
      <w:r>
        <w:t>Externe Projekt und PSP Kennungen sind von internen Schlüsseln zu unterscheiden. Hierarchie und neue interne Nummern benötigen Zuordnungstabellen. Kostenhistorie ist Referenzmaterial; Budget, Netzpläne und Abrechnung benötigen gesonderte Schnittstellen.</w:t>
      </w:r>
    </w:p>
    <w:p>
      <w:r>
        <w:t>Paketordner: ps_mig_ecc und ps_mig_s4.</w:t>
      </w:r>
    </w:p>
    <w:p>
      <w:r>
        <w:br w:type="page"/>
      </w:r>
    </w:p>
    <w:p>
      <w:pPr>
        <w:pStyle w:val="Heading1"/>
      </w:pPr>
      <w:r>
        <w:t>Domänenumfang 3</w:t>
      </w:r>
    </w:p>
    <w:p>
      <w:pPr>
        <w:pStyle w:val="Heading2"/>
      </w:pPr>
      <w:r>
        <w:t>Produktionsplanung</w:t>
      </w:r>
    </w:p>
    <w:p>
      <w:r>
        <w:t>Module: production_order, production_order_operation, bill_of_material, routing, production_version, production_confirmation.</w:t>
      </w:r>
    </w:p>
    <w:p>
      <w:r>
        <w:t>Quelltabellen: AFKO, AFPO, AFRU, AFVC, AFVV, AUFK, MAPL, MAST, MKAL, PLAS, PLFL, PLKO, PLPO, RESB, STAS, STKO, STPO.</w:t>
      </w:r>
    </w:p>
    <w:p>
      <w:r>
        <w:t>Stücklisten und Arbeitspläne benötigen Stichtag, Änderungsdienst, Alternativen und Knotenauswahl. Fertigungsaufträge sind Prozessreferenzen bis zur Schnittstellenfreigabe. Rückmeldungen und Warenbewegungen dürfen nicht als Stammdaten erneut gebucht werden.</w:t>
      </w:r>
    </w:p>
    <w:p>
      <w:r>
        <w:t>Paketordner: pp_mig_ecc und pp_mig_s4.</w:t>
      </w:r>
    </w:p>
    <w:p>
      <w:pPr>
        <w:pStyle w:val="Heading2"/>
      </w:pPr>
      <w:r>
        <w:t>Controlling</w:t>
      </w:r>
    </w:p>
    <w:p>
      <w:r>
        <w:t>Module: cost_center, profit_center, internal_order, cost_actuals, cost_element, planning, allocation_cycle.</w:t>
      </w:r>
    </w:p>
    <w:p>
      <w:r>
        <w:t>Quelltabellen: AUFK, CEPC, CEPCT, COBRB, COEP, COSP, COSS, CSKA, CSKB, CSKS, CSKT, T811C, T811S.</w:t>
      </w:r>
    </w:p>
    <w:p>
      <w:r>
        <w:t>Zeitabhängige Kostenstellen und Profitcenter benötigen eine Stichtagsprüfung. Kostenarten werden mit Sachkonten abgestimmt. COEP Historie ist keine Buchungsvorlage für das Universal Journal. Planung und Verrechnung erfordern zusätzliche Schnittstellen.</w:t>
      </w:r>
    </w:p>
    <w:p>
      <w:r>
        <w:t>Paketordner: co_mig_ecc und co_mig_s4.</w:t>
      </w:r>
    </w:p>
    <w:p>
      <w:r>
        <w:br w:type="page"/>
      </w:r>
    </w:p>
    <w:p>
      <w:pPr>
        <w:pStyle w:val="Heading1"/>
      </w:pPr>
      <w:r>
        <w:t>Domänenumfang 4</w:t>
      </w:r>
    </w:p>
    <w:p>
      <w:pPr>
        <w:pStyle w:val="Heading2"/>
      </w:pPr>
      <w:r>
        <w:t>Finanzbuchhaltung</w:t>
      </w:r>
    </w:p>
    <w:p>
      <w:r>
        <w:t>Module: gl_account, supplier, customer, gl_line_item, open_items, bank, gl_opening_balance.</w:t>
      </w:r>
    </w:p>
    <w:p>
      <w:r>
        <w:t>Quelltabellen: BKPF, BNKA, BSAD, BSAK, BSAS, BSEG, BSID, BSIK, BSIS, FAGLFLEXT, GLT0, KNA1, KNB1, KNVV, LFA1, LFB1, LFM1, SKA1, SKAT, SKB1.</w:t>
      </w:r>
    </w:p>
    <w:p>
      <w:r>
        <w:t>Kunden und Lieferanten benötigen Geschäftspartner und CVI Zuordnungen. BSEG kann in ECC eine Clustertabelle sein; CDS Zugriff ist nicht vorausgesetzt. Für offene Posten am Stichtag sind auch später ausgeglichene Posten relevant. Währungen, Vorzeichen und Nebenbuchabgrenzung müssen abgestimmt werden.</w:t>
      </w:r>
    </w:p>
    <w:p>
      <w:r>
        <w:t>Paketordner: fi_mig_ecc und fi_mig_s4.</w:t>
      </w:r>
    </w:p>
    <w:p>
      <w:pPr>
        <w:pStyle w:val="Heading2"/>
      </w:pPr>
      <w:r>
        <w:t>Vertrieb</w:t>
      </w:r>
    </w:p>
    <w:p>
      <w:r>
        <w:t>Module: sales_order, outbound_delivery, billing_document, pricing_condition.</w:t>
      </w:r>
    </w:p>
    <w:p>
      <w:r>
        <w:t>Quelltabellen: KONH, KONM, KONP, KONW, LIKP, LIPS, VBAK, VBAP, VBEP, VBFA, VBKD, VBPA, VBRK, VBRP, VBUK, VBUP.</w:t>
      </w:r>
    </w:p>
    <w:p>
      <w:r>
        <w:t>Offene Kundenaufträge benötigen Positionsstatus, Absagegründe, Belegfluss und Restmengen. Lieferungen und Fakturen sind Historienreferenzen. Ihre Neuerstellung kann Logistik und Buchhaltung auslösen. Partner, Konditionen, Texte und Steuern benötigen Schnittstellenfreigabe.</w:t>
      </w:r>
    </w:p>
    <w:p>
      <w:r>
        <w:t>Paketordner: sd_mig_ecc und sd_mig_s4.</w:t>
      </w:r>
    </w:p>
    <w:p>
      <w:pPr>
        <w:pStyle w:val="Heading2"/>
      </w:pPr>
      <w:r>
        <w:t>Abnahme und weitere Dateien</w:t>
      </w:r>
    </w:p>
    <w:p>
      <w:r>
        <w:t>Prüfen Sie berechtigte und eingeschränkte Benutzer, Unicode, doppelte Schlüssel, geänderte Nummern, fehlende Datensätze und abgewiesene Buchungen. Gleiche Zeilenanzahlen reichen nicht. Protokollieren Sie SAP Release, Transporte, Hashes, fachliche Abstimmung und offene Befunde. Unbegrenzte Nutzung und Änderung sind gemäß LICENSE.md erlaubt; eigenständiger Weiterverkauf ist ausgeschlossen.</w:t>
      </w:r>
    </w:p>
    <w:p>
      <w:r>
        <w:t>Vertiefung: CUSTOMER_MANUAL_EN.md und CUSTOMER_MANUAL_DE.md, mapping, CUSTOMER_TEST.md, CROSS_DOMAIN_PREREQUISITES.md und ModuPorter-Domains-VDM.html. EWM, TM, FSCM, EHS und Industriekandidaten bleiben Machbarkeitspositionen ohne definierte Pakete.</w:t>
      </w:r>
    </w:p>
    <w:p>
      <w:r>
        <w:br w:type="page"/>
      </w:r>
    </w:p>
    <w:p>
      <w:pPr>
        <w:pStyle w:val="Heading1"/>
      </w:pPr>
      <w:r>
        <w:t>Erweiterungen und Vorprüfung</w:t>
      </w:r>
    </w:p>
    <w:p>
      <w:r>
        <w:t>Version 0.2.0 erweitert sieben bestehende Domänen um 15 Module und 31 Strukturen. Die bisherigen Module bleiben erhalten. Details zu jedem neuen Objekt stehen im jeweiligen zweisprachigen Kundenhandbuch und unter customer/coverage-requirements.json.</w:t>
      </w:r>
    </w:p>
    <w:p>
      <w:pPr>
        <w:pStyle w:val="Heading2"/>
      </w:pPr>
      <w:r>
        <w:t>Materialwirtschaft</w:t>
      </w:r>
    </w:p>
    <w:p>
      <w:r>
        <w:t>purchasing_info_record, purchasing_contract.</w:t>
      </w:r>
    </w:p>
    <w:p>
      <w:pPr>
        <w:pStyle w:val="Heading2"/>
      </w:pPr>
      <w:r>
        <w:t>Qualitätsmanagement</w:t>
      </w:r>
    </w:p>
    <w:p>
      <w:r>
        <w:t>master_inspection_characteristic, sampling_procedure.</w:t>
      </w:r>
    </w:p>
    <w:p>
      <w:pPr>
        <w:pStyle w:val="Heading2"/>
      </w:pPr>
      <w:r>
        <w:t>Projektsystem</w:t>
      </w:r>
    </w:p>
    <w:p>
      <w:r>
        <w:t>network, budget, commitment, investment_measure.</w:t>
      </w:r>
    </w:p>
    <w:p>
      <w:pPr>
        <w:pStyle w:val="Heading2"/>
      </w:pPr>
      <w:r>
        <w:t>Produktionsplanung</w:t>
      </w:r>
    </w:p>
    <w:p>
      <w:r>
        <w:t>production_version, production_confirmation.</w:t>
      </w:r>
    </w:p>
    <w:p>
      <w:pPr>
        <w:pStyle w:val="Heading2"/>
      </w:pPr>
      <w:r>
        <w:t>Controlling</w:t>
      </w:r>
    </w:p>
    <w:p>
      <w:r>
        <w:t>planning, allocation_cycle.</w:t>
      </w:r>
    </w:p>
    <w:p>
      <w:pPr>
        <w:pStyle w:val="Heading2"/>
      </w:pPr>
      <w:r>
        <w:t>Finanzbuchhaltung</w:t>
      </w:r>
    </w:p>
    <w:p>
      <w:r>
        <w:t>bank, gl_opening_balance.</w:t>
      </w:r>
    </w:p>
    <w:p>
      <w:pPr>
        <w:pStyle w:val="Heading2"/>
      </w:pPr>
      <w:r>
        <w:t>Vertrieb</w:t>
      </w:r>
    </w:p>
    <w:p>
      <w:r>
        <w:t>pricing_condition.</w:t>
      </w:r>
    </w:p>
    <w:p>
      <w:r>
        <w:t>migration_ddic.py vergleicht die Mappingfelder mit den vollständigen nativen DDIC Schlüsseln aus der .fields.csv Datei. Fehlende Felder, ausgelassene Schlüssel und zusätzliche vermeintliche Schlüssel stoppen diese Vorprüfung. Bei Fehlern zuerst die Kandidatenstruktur korrigieren. Das bestätigt keine SAP Aktivierung oder Zielbeladung.</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SAP Domänen Migrationshandbuch</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