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Migrationstemplates Kundenhandbuch</w:t>
      </w:r>
    </w:p>
    <w:p>
      <w:r>
        <w:t>Version 1.0.0 | KAOURI INNOVATECH</w:t>
      </w:r>
    </w:p>
    <w:p>
      <w:r>
        <w:t>Dieses Handbuch erklärt Installation, modulare Auswahl, Extraktion und Vergleich der gelieferten Migrationstemplates. Jedes Paket enthält separate SOURCE- und TARGET-Archive. Die Geschäftsobjekte werden über die kundenseitig gewählte SAP-Schnittstelle angelegt.</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c>
          <w:tcPr>
            <w:tcW w:type="dxa" w:w="2324"/>
            <w:shd w:fill="273D50"/>
          </w:tcPr>
          <w:p>
            <w:pPr>
              <w:spacing w:after="80" w:before="80"/>
            </w:pPr>
            <w:r>
              <w:rPr>
                <w:b/>
                <w:color w:val="FFFFFF"/>
                <w:sz w:val="20"/>
              </w:rPr>
              <w:t>Zielviews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5</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85</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20</w:t>
            </w:r>
          </w:p>
        </w:tc>
        <w:tc>
          <w:tcPr>
            <w:tcW w:type="dxa" w:w="2324"/>
            <w:shd w:fill="F2F5F7"/>
          </w:tcPr>
          <w:p>
            <w:pPr>
              <w:spacing w:after="80" w:before="80"/>
            </w:pPr>
            <w:r>
              <w:rPr>
                <w:b w:val="0"/>
                <w:color w:val="000000"/>
                <w:sz w:val="20"/>
              </w:rPr>
              <w:t>66</w:t>
            </w:r>
          </w:p>
        </w:tc>
        <w:tc>
          <w:tcPr>
            <w:tcW w:type="dxa" w:w="2324"/>
            <w:shd w:fill="F2F5F7"/>
          </w:tcPr>
          <w:p>
            <w:pPr>
              <w:spacing w:after="80" w:before="80"/>
            </w:pPr>
            <w:r>
              <w:rPr>
                <w:b w:val="0"/>
                <w:color w:val="000000"/>
                <w:sz w:val="20"/>
              </w:rPr>
              <w:t>4</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17</w:t>
            </w:r>
          </w:p>
        </w:tc>
        <w:tc>
          <w:tcPr>
            <w:tcW w:type="dxa" w:w="2324"/>
            <w:shd w:fill="FFFFFF"/>
          </w:tcPr>
          <w:p>
            <w:pPr>
              <w:spacing w:after="80" w:before="80"/>
            </w:pPr>
            <w:r>
              <w:rPr>
                <w:b w:val="0"/>
                <w:color w:val="000000"/>
                <w:sz w:val="20"/>
              </w:rPr>
              <w:t>58</w:t>
            </w:r>
          </w:p>
        </w:tc>
        <w:tc>
          <w:tcPr>
            <w:tcW w:type="dxa" w:w="2324"/>
            <w:shd w:fill="FFFFFF"/>
          </w:tcPr>
          <w:p>
            <w:pPr>
              <w:spacing w:after="80" w:before="80"/>
            </w:pPr>
            <w:r>
              <w:rPr>
                <w:b w:val="0"/>
                <w:color w:val="000000"/>
                <w:sz w:val="20"/>
              </w:rPr>
              <w:t>4</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18</w:t>
            </w:r>
          </w:p>
        </w:tc>
        <w:tc>
          <w:tcPr>
            <w:tcW w:type="dxa" w:w="2324"/>
            <w:shd w:fill="F2F5F7"/>
          </w:tcPr>
          <w:p>
            <w:pPr>
              <w:spacing w:after="80" w:before="80"/>
            </w:pPr>
            <w:r>
              <w:rPr>
                <w:b w:val="0"/>
                <w:color w:val="000000"/>
                <w:sz w:val="20"/>
              </w:rPr>
              <w:t>60</w:t>
            </w:r>
          </w:p>
        </w:tc>
        <w:tc>
          <w:tcPr>
            <w:tcW w:type="dxa" w:w="2324"/>
            <w:shd w:fill="F2F5F7"/>
          </w:tcPr>
          <w:p>
            <w:pPr>
              <w:spacing w:after="80" w:before="80"/>
            </w:pPr>
            <w:r>
              <w:rPr>
                <w:b w:val="0"/>
                <w:color w:val="000000"/>
                <w:sz w:val="20"/>
              </w:rPr>
              <w:t>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14</w:t>
            </w:r>
          </w:p>
        </w:tc>
        <w:tc>
          <w:tcPr>
            <w:tcW w:type="dxa" w:w="2324"/>
            <w:shd w:fill="FFFFFF"/>
          </w:tcPr>
          <w:p>
            <w:pPr>
              <w:spacing w:after="80" w:before="80"/>
            </w:pPr>
            <w:r>
              <w:rPr>
                <w:b w:val="0"/>
                <w:color w:val="000000"/>
                <w:sz w:val="20"/>
              </w:rPr>
              <w:t>49</w:t>
            </w:r>
          </w:p>
        </w:tc>
        <w:tc>
          <w:tcPr>
            <w:tcW w:type="dxa" w:w="2324"/>
            <w:shd w:fill="FFFFFF"/>
          </w:tcPr>
          <w:p>
            <w:pPr>
              <w:spacing w:after="80" w:before="80"/>
            </w:pPr>
            <w:r>
              <w:rPr>
                <w:b w:val="0"/>
                <w:color w:val="000000"/>
                <w:sz w:val="20"/>
              </w:rPr>
              <w:t>6</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23</w:t>
            </w:r>
          </w:p>
        </w:tc>
        <w:tc>
          <w:tcPr>
            <w:tcW w:type="dxa" w:w="2324"/>
            <w:shd w:fill="F2F5F7"/>
          </w:tcPr>
          <w:p>
            <w:pPr>
              <w:spacing w:after="80" w:before="80"/>
            </w:pPr>
            <w:r>
              <w:rPr>
                <w:b w:val="0"/>
                <w:color w:val="000000"/>
                <w:sz w:val="20"/>
              </w:rPr>
              <w:t>74</w:t>
            </w:r>
          </w:p>
        </w:tc>
        <w:tc>
          <w:tcPr>
            <w:tcW w:type="dxa" w:w="2324"/>
            <w:shd w:fill="F2F5F7"/>
          </w:tcPr>
          <w:p>
            <w:pPr>
              <w:spacing w:after="80" w:before="80"/>
            </w:pPr>
            <w:r>
              <w:rPr>
                <w:b w:val="0"/>
                <w:color w:val="000000"/>
                <w:sz w:val="20"/>
              </w:rPr>
              <w:t>6</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63</w:t>
            </w:r>
          </w:p>
        </w:tc>
        <w:tc>
          <w:tcPr>
            <w:tcW w:type="dxa" w:w="2324"/>
            <w:shd w:fill="FFFFFF"/>
          </w:tcPr>
          <w:p>
            <w:pPr>
              <w:spacing w:after="80" w:before="80"/>
            </w:pPr>
            <w:r>
              <w:rPr>
                <w:b w:val="0"/>
                <w:color w:val="000000"/>
                <w:sz w:val="20"/>
              </w:rPr>
              <w:t>6</w:t>
            </w:r>
          </w:p>
        </w:tc>
      </w:tr>
    </w:tbl>
    <w:p/>
    <w:p>
      <w:pPr>
        <w:pStyle w:val="Heading2"/>
      </w:pPr>
      <w:r>
        <w:t>Architektur</w:t>
      </w:r>
    </w:p>
    <w:p>
      <w:r>
        <w:t>SAP table → B_ Basic → I_ Interface → C_ Consumption</w:t>
      </w:r>
    </w:p>
    <w:p>
      <w:r>
        <w:t>Basic liest native Tabellen und erhält deren Datengranularität. Composite bildet fachliche Spalten und Verknüpfungen. Consumption liefert die dokumentierten Exportstrukturen. Zielviews und CSV-Verträge dienen dem Vergleich derselben Population.</w:t>
      </w:r>
    </w:p>
    <w:p>
      <w:pPr>
        <w:pStyle w:val="Heading2"/>
      </w:pPr>
      <w:r>
        <w:t>Lieferumfang</w:t>
      </w:r>
    </w:p>
    <w:p>
      <w:r>
        <w:t>Enthalten sind CDS-Quellen, abapGit-Metadaten, Feldzuordnungen, Aktivierungsreihenfolge, Umfangsbeschreibung, Lizenz und VDM-Karte. Python-Werkzeuge unterstützen Auswahl und Vergleich. Optionale ABAP-Berichte werden separat in SE38 angelegt.</w:t>
      </w:r>
    </w:p>
    <w:p>
      <w:r>
        <w:t>Die Lizenz erlaubt unbegrenzte Nutzung und Änderung für eigene und Kundenimplementierungen. Ein Weiterverkauf der Templatebibliothek ist ausgeschlossen. Maßgeblich ist docs/LICENSE.md.</w:t>
      </w:r>
    </w:p>
    <w:p>
      <w:r>
        <w:br w:type="page"/>
      </w:r>
    </w:p>
    <w:p>
      <w:pPr>
        <w:pStyle w:val="Heading1"/>
      </w:pPr>
      <w:r>
        <w:t>Installation und Nutzung</w:t>
      </w:r>
    </w:p>
    <w:p>
      <w:r>
        <w:t>1. SOURCE und TARGET entpacken und getrennt in das jeweilige SAP-System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Identifikatoren und neu erzeugte UUIDs anhand einer separaten Zuordnung abgleichen. Zielpopulation und Quellpopulation gleich abgrenzen.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fi_aa_mig_ecc fixed_asset --out source.zip</w:t>
      </w:r>
    </w:p>
    <w:p>
      <w:r>
        <w:t>Der Builder läuft im GitHub-Checkout auf dem Arbeitsplatz und ergänzt erforderliche Module automatisch. Für das gesamte Produkt --all statt des Modulnamens verwenden. Ein einzelner View benötigt sämtliche referenzierten Views.</w:t>
      </w:r>
    </w:p>
    <w:p>
      <w:r>
        <w:br w:type="page"/>
      </w:r>
    </w:p>
    <w:p>
      <w:pPr>
        <w:pStyle w:val="Heading1"/>
      </w:pPr>
      <w:r>
        <w:t>Umfang und fachliche Regeln</w:t>
      </w:r>
    </w:p>
    <w:p>
      <w:pPr>
        <w:pStyle w:val="Heading2"/>
      </w:pPr>
      <w:r>
        <w:t>FI_AA</w:t>
      </w:r>
    </w:p>
    <w:p>
      <w:r>
        <w:t>Abschreibungsbereiche, Geschäftsjahre, Währungen und Übernahmedatum festlegen. Anlagenwerte nicht zusätzlich als Hauptbucheröffnung buchen.</w:t>
      </w:r>
    </w:p>
    <w:p>
      <w:pPr>
        <w:pStyle w:val="Heading2"/>
      </w:pPr>
      <w:r>
        <w:t>MM</w:t>
      </w:r>
    </w:p>
    <w:p>
      <w:r>
        <w:t>Bestände mit Charge und Sonderbestand abgrenzen. Offene Einkaufsbelege über Positionen, Wareneingänge, Rechnungen und Restmengen bestimmen.</w:t>
      </w:r>
    </w:p>
    <w:p>
      <w:pPr>
        <w:pStyle w:val="Heading2"/>
      </w:pPr>
      <w:r>
        <w:t>QM</w:t>
      </w:r>
    </w:p>
    <w:p>
      <w:r>
        <w:t>Prüflos-, Ergebnis- und Entscheidungsstatus berücksichtigen. Prüfpläne benötigen wirksame Zuordnungen, Vorgänge und Merkmale.</w:t>
      </w:r>
    </w:p>
    <w:p>
      <w:pPr>
        <w:pStyle w:val="Heading2"/>
      </w:pPr>
      <w:r>
        <w:t>PS</w:t>
      </w:r>
    </w:p>
    <w:p>
      <w:r>
        <w:t>Externe und interne Projekt- und PSP-Schlüssel zuordnen. Hierarchie anhand der Zielschlüssel aufbauen.</w:t>
      </w:r>
    </w:p>
    <w:p>
      <w:pPr>
        <w:pStyle w:val="Heading2"/>
      </w:pPr>
      <w:r>
        <w:t>PP</w:t>
      </w:r>
    </w:p>
    <w:p>
      <w:r>
        <w:t>Stücklisten und Arbeitspläne nach Stichtag, Änderung, Verwendung und Alternative auswählen. Auftragsreferenzen sind keine erneuten Buchungen.</w:t>
      </w:r>
    </w:p>
    <w:p>
      <w:pPr>
        <w:pStyle w:val="Heading2"/>
      </w:pPr>
      <w:r>
        <w:t>CO</w:t>
      </w:r>
    </w:p>
    <w:p>
      <w:r>
        <w:t>Kostenstellen, Profitcenter, Gültigkeit und Währungen berücksichtigen. Bewegungs- und Saldenübernahme getrennt abstimmen.</w:t>
      </w:r>
    </w:p>
    <w:p>
      <w:pPr>
        <w:pStyle w:val="Heading2"/>
      </w:pPr>
      <w:r>
        <w:t>FI</w:t>
      </w:r>
    </w:p>
    <w:p>
      <w:r>
        <w:t>Konten, Organisation, Geschäftsjahr und Währungen zuordnen. Offene Posten und Salden ohne Doppelbuchung übernehmen.</w:t>
      </w:r>
    </w:p>
    <w:p>
      <w:pPr>
        <w:pStyle w:val="Heading2"/>
      </w:pPr>
      <w:r>
        <w:t>SD</w:t>
      </w:r>
    </w:p>
    <w:p>
      <w:r>
        <w:t>Belegstatus, Partner, Einteilungen und offene Mengen berücksichtigen. Historien und Belegfluss anhand der Zielschlüssel abgleichen.</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Organisationsebenen und Gültigkeitsintervalle behalten getrennte Strukturen und vollständige Schlüssel. Die Vorbereitung begrenzt Kinddaten auf ausgewählte Eltern und lehnt doppelte Elternschlüssel ab. Native Adressen ergänzen technische Objekte, FI-Geschäftspartner und Banken, SD-Belegpartner und CO-Stammsätze. Fehlende Standardadressen erhalten den Stammsatz; Varianten bleiben Referenzdaten. SAP erzeugt Systemstatus und technische Zielnummern. SD-Kopfdaten behalten Position 000000; Positionsdaten folgen ausgewählten Positionen. Maßgeblich sind customer/parent-relationships.json, docs/MASTER_CHILD_ARCHITECTURE.md und die gewählte Zielschnittstelle.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Migrationstemplates Kundenhandbuch</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