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SAP migration templates customer manual</w:t>
      </w:r>
    </w:p>
    <w:p>
      <w:r>
        <w:t>Version 1.0.0 | KAOURI INNOVATECH</w:t>
      </w:r>
    </w:p>
    <w:p>
      <w:r>
        <w:t>This manual explains installation, module selection, extraction and comparison for the supplied migration templates. Each pack contains separate SOURCE and TARGET archives. Business objects are created through the SAP interface chosen by the customer.</w:t>
      </w:r>
    </w:p>
    <w:tbl>
      <w:tblPr>
        <w:tblW w:type="auto" w:w="0"/>
        <w:tblLayout w:type="fixed"/>
        <w:tblLook w:firstColumn="1" w:firstRow="1" w:lastColumn="0" w:lastRow="0" w:noHBand="0" w:noVBand="1" w:val="04A0"/>
      </w:tblPr>
      <w:tblGrid>
        <w:gridCol w:w="2891"/>
        <w:gridCol w:w="2324"/>
        <w:gridCol w:w="2324"/>
        <w:gridCol w:w="2324"/>
      </w:tblGrid>
      <w:tr>
        <w:trPr>
          <w:tblHeader/>
          <w:cantSplit/>
        </w:trPr>
        <w:tc>
          <w:tcPr>
            <w:tcW w:type="dxa" w:w="2891"/>
            <w:shd w:fill="273D50"/>
          </w:tcPr>
          <w:p>
            <w:pPr>
              <w:spacing w:after="80" w:before="80"/>
            </w:pPr>
            <w:r>
              <w:rPr>
                <w:b/>
                <w:color w:val="FFFFFF"/>
                <w:sz w:val="20"/>
              </w:rPr>
              <w:t>Pack</w:t>
            </w:r>
          </w:p>
        </w:tc>
        <w:tc>
          <w:tcPr>
            <w:tcW w:type="dxa" w:w="2324"/>
            <w:shd w:fill="273D50"/>
          </w:tcPr>
          <w:p>
            <w:pPr>
              <w:spacing w:after="80" w:before="80"/>
            </w:pPr>
            <w:r>
              <w:rPr>
                <w:b/>
                <w:color w:val="FFFFFF"/>
                <w:sz w:val="20"/>
              </w:rPr>
              <w:t>Structures</w:t>
            </w:r>
          </w:p>
        </w:tc>
        <w:tc>
          <w:tcPr>
            <w:tcW w:type="dxa" w:w="2324"/>
            <w:shd w:fill="273D50"/>
          </w:tcPr>
          <w:p>
            <w:pPr>
              <w:spacing w:after="80" w:before="80"/>
            </w:pPr>
            <w:r>
              <w:rPr>
                <w:b/>
                <w:color w:val="FFFFFF"/>
                <w:sz w:val="20"/>
              </w:rPr>
              <w:t>Source views</w:t>
            </w:r>
          </w:p>
        </w:tc>
        <w:tc>
          <w:tcPr>
            <w:tcW w:type="dxa" w:w="2324"/>
            <w:shd w:fill="273D50"/>
          </w:tcPr>
          <w:p>
            <w:pPr>
              <w:spacing w:after="80" w:before="80"/>
            </w:pPr>
            <w:r>
              <w:rPr>
                <w:b/>
                <w:color w:val="FFFFFF"/>
                <w:sz w:val="20"/>
              </w:rPr>
              <w:t>Target views</w:t>
            </w:r>
          </w:p>
        </w:tc>
      </w:tr>
      <w:tr>
        <w:trPr>
          <w:cantSplit/>
        </w:trPr>
        <w:tc>
          <w:tcPr>
            <w:tcW w:type="dxa" w:w="2891"/>
            <w:shd w:fill="F2F5F7"/>
          </w:tcPr>
          <w:p>
            <w:pPr>
              <w:spacing w:after="80" w:before="80"/>
            </w:pPr>
            <w:r>
              <w:rPr>
                <w:b w:val="0"/>
                <w:color w:val="000000"/>
                <w:sz w:val="20"/>
              </w:rPr>
              <w:t>FI_AA</w:t>
            </w:r>
          </w:p>
        </w:tc>
        <w:tc>
          <w:tcPr>
            <w:tcW w:type="dxa" w:w="2324"/>
            <w:shd w:fill="F2F5F7"/>
          </w:tcPr>
          <w:p>
            <w:pPr>
              <w:spacing w:after="80" w:before="80"/>
            </w:pPr>
            <w:r>
              <w:rPr>
                <w:b w:val="0"/>
                <w:color w:val="000000"/>
                <w:sz w:val="20"/>
              </w:rPr>
              <w:t>5</w:t>
            </w:r>
          </w:p>
        </w:tc>
        <w:tc>
          <w:tcPr>
            <w:tcW w:type="dxa" w:w="2324"/>
            <w:shd w:fill="F2F5F7"/>
          </w:tcPr>
          <w:p>
            <w:pPr>
              <w:spacing w:after="80" w:before="80"/>
            </w:pPr>
            <w:r>
              <w:rPr>
                <w:b w:val="0"/>
                <w:color w:val="000000"/>
                <w:sz w:val="20"/>
              </w:rPr>
              <w:t>18</w:t>
            </w:r>
          </w:p>
        </w:tc>
        <w:tc>
          <w:tcPr>
            <w:tcW w:type="dxa" w:w="2324"/>
            <w:shd w:fill="F2F5F7"/>
          </w:tcPr>
          <w:p>
            <w:pPr>
              <w:spacing w:after="80" w:before="80"/>
            </w:pPr>
            <w:r>
              <w:rPr>
                <w:b w:val="0"/>
                <w:color w:val="000000"/>
                <w:sz w:val="20"/>
              </w:rPr>
              <w:t>2</w:t>
            </w:r>
          </w:p>
        </w:tc>
      </w:tr>
      <w:tr>
        <w:trPr>
          <w:cantSplit/>
        </w:trPr>
        <w:tc>
          <w:tcPr>
            <w:tcW w:type="dxa" w:w="2891"/>
            <w:shd w:fill="FFFFFF"/>
          </w:tcPr>
          <w:p>
            <w:pPr>
              <w:spacing w:after="80" w:before="80"/>
            </w:pPr>
            <w:r>
              <w:rPr>
                <w:b w:val="0"/>
                <w:color w:val="000000"/>
                <w:sz w:val="20"/>
              </w:rPr>
              <w:t>MM</w:t>
            </w:r>
          </w:p>
        </w:tc>
        <w:tc>
          <w:tcPr>
            <w:tcW w:type="dxa" w:w="2324"/>
            <w:shd w:fill="FFFFFF"/>
          </w:tcPr>
          <w:p>
            <w:pPr>
              <w:spacing w:after="80" w:before="80"/>
            </w:pPr>
            <w:r>
              <w:rPr>
                <w:b w:val="0"/>
                <w:color w:val="000000"/>
                <w:sz w:val="20"/>
              </w:rPr>
              <w:t>26</w:t>
            </w:r>
          </w:p>
        </w:tc>
        <w:tc>
          <w:tcPr>
            <w:tcW w:type="dxa" w:w="2324"/>
            <w:shd w:fill="FFFFFF"/>
          </w:tcPr>
          <w:p>
            <w:pPr>
              <w:spacing w:after="80" w:before="80"/>
            </w:pPr>
            <w:r>
              <w:rPr>
                <w:b w:val="0"/>
                <w:color w:val="000000"/>
                <w:sz w:val="20"/>
              </w:rPr>
              <w:t>85</w:t>
            </w:r>
          </w:p>
        </w:tc>
        <w:tc>
          <w:tcPr>
            <w:tcW w:type="dxa" w:w="2324"/>
            <w:shd w:fill="FFFFFF"/>
          </w:tcPr>
          <w:p>
            <w:pPr>
              <w:spacing w:after="80" w:before="80"/>
            </w:pPr>
            <w:r>
              <w:rPr>
                <w:b w:val="0"/>
                <w:color w:val="000000"/>
                <w:sz w:val="20"/>
              </w:rPr>
              <w:t>6</w:t>
            </w:r>
          </w:p>
        </w:tc>
      </w:tr>
      <w:tr>
        <w:trPr>
          <w:cantSplit/>
        </w:trPr>
        <w:tc>
          <w:tcPr>
            <w:tcW w:type="dxa" w:w="2891"/>
            <w:shd w:fill="F2F5F7"/>
          </w:tcPr>
          <w:p>
            <w:pPr>
              <w:spacing w:after="80" w:before="80"/>
            </w:pPr>
            <w:r>
              <w:rPr>
                <w:b w:val="0"/>
                <w:color w:val="000000"/>
                <w:sz w:val="20"/>
              </w:rPr>
              <w:t>QM</w:t>
            </w:r>
          </w:p>
        </w:tc>
        <w:tc>
          <w:tcPr>
            <w:tcW w:type="dxa" w:w="2324"/>
            <w:shd w:fill="F2F5F7"/>
          </w:tcPr>
          <w:p>
            <w:pPr>
              <w:spacing w:after="80" w:before="80"/>
            </w:pPr>
            <w:r>
              <w:rPr>
                <w:b w:val="0"/>
                <w:color w:val="000000"/>
                <w:sz w:val="20"/>
              </w:rPr>
              <w:t>20</w:t>
            </w:r>
          </w:p>
        </w:tc>
        <w:tc>
          <w:tcPr>
            <w:tcW w:type="dxa" w:w="2324"/>
            <w:shd w:fill="F2F5F7"/>
          </w:tcPr>
          <w:p>
            <w:pPr>
              <w:spacing w:after="80" w:before="80"/>
            </w:pPr>
            <w:r>
              <w:rPr>
                <w:b w:val="0"/>
                <w:color w:val="000000"/>
                <w:sz w:val="20"/>
              </w:rPr>
              <w:t>66</w:t>
            </w:r>
          </w:p>
        </w:tc>
        <w:tc>
          <w:tcPr>
            <w:tcW w:type="dxa" w:w="2324"/>
            <w:shd w:fill="F2F5F7"/>
          </w:tcPr>
          <w:p>
            <w:pPr>
              <w:spacing w:after="80" w:before="80"/>
            </w:pPr>
            <w:r>
              <w:rPr>
                <w:b w:val="0"/>
                <w:color w:val="000000"/>
                <w:sz w:val="20"/>
              </w:rPr>
              <w:t>4</w:t>
            </w:r>
          </w:p>
        </w:tc>
      </w:tr>
      <w:tr>
        <w:trPr>
          <w:cantSplit/>
        </w:trPr>
        <w:tc>
          <w:tcPr>
            <w:tcW w:type="dxa" w:w="2891"/>
            <w:shd w:fill="FFFFFF"/>
          </w:tcPr>
          <w:p>
            <w:pPr>
              <w:spacing w:after="80" w:before="80"/>
            </w:pPr>
            <w:r>
              <w:rPr>
                <w:b w:val="0"/>
                <w:color w:val="000000"/>
                <w:sz w:val="20"/>
              </w:rPr>
              <w:t>PS</w:t>
            </w:r>
          </w:p>
        </w:tc>
        <w:tc>
          <w:tcPr>
            <w:tcW w:type="dxa" w:w="2324"/>
            <w:shd w:fill="FFFFFF"/>
          </w:tcPr>
          <w:p>
            <w:pPr>
              <w:spacing w:after="80" w:before="80"/>
            </w:pPr>
            <w:r>
              <w:rPr>
                <w:b w:val="0"/>
                <w:color w:val="000000"/>
                <w:sz w:val="20"/>
              </w:rPr>
              <w:t>17</w:t>
            </w:r>
          </w:p>
        </w:tc>
        <w:tc>
          <w:tcPr>
            <w:tcW w:type="dxa" w:w="2324"/>
            <w:shd w:fill="FFFFFF"/>
          </w:tcPr>
          <w:p>
            <w:pPr>
              <w:spacing w:after="80" w:before="80"/>
            </w:pPr>
            <w:r>
              <w:rPr>
                <w:b w:val="0"/>
                <w:color w:val="000000"/>
                <w:sz w:val="20"/>
              </w:rPr>
              <w:t>58</w:t>
            </w:r>
          </w:p>
        </w:tc>
        <w:tc>
          <w:tcPr>
            <w:tcW w:type="dxa" w:w="2324"/>
            <w:shd w:fill="FFFFFF"/>
          </w:tcPr>
          <w:p>
            <w:pPr>
              <w:spacing w:after="80" w:before="80"/>
            </w:pPr>
            <w:r>
              <w:rPr>
                <w:b w:val="0"/>
                <w:color w:val="000000"/>
                <w:sz w:val="20"/>
              </w:rPr>
              <w:t>4</w:t>
            </w:r>
          </w:p>
        </w:tc>
      </w:tr>
      <w:tr>
        <w:trPr>
          <w:cantSplit/>
        </w:trPr>
        <w:tc>
          <w:tcPr>
            <w:tcW w:type="dxa" w:w="2891"/>
            <w:shd w:fill="F2F5F7"/>
          </w:tcPr>
          <w:p>
            <w:pPr>
              <w:spacing w:after="80" w:before="80"/>
            </w:pPr>
            <w:r>
              <w:rPr>
                <w:b w:val="0"/>
                <w:color w:val="000000"/>
                <w:sz w:val="20"/>
              </w:rPr>
              <w:t>PP</w:t>
            </w:r>
          </w:p>
        </w:tc>
        <w:tc>
          <w:tcPr>
            <w:tcW w:type="dxa" w:w="2324"/>
            <w:shd w:fill="F2F5F7"/>
          </w:tcPr>
          <w:p>
            <w:pPr>
              <w:spacing w:after="80" w:before="80"/>
            </w:pPr>
            <w:r>
              <w:rPr>
                <w:b w:val="0"/>
                <w:color w:val="000000"/>
                <w:sz w:val="20"/>
              </w:rPr>
              <w:t>18</w:t>
            </w:r>
          </w:p>
        </w:tc>
        <w:tc>
          <w:tcPr>
            <w:tcW w:type="dxa" w:w="2324"/>
            <w:shd w:fill="F2F5F7"/>
          </w:tcPr>
          <w:p>
            <w:pPr>
              <w:spacing w:after="80" w:before="80"/>
            </w:pPr>
            <w:r>
              <w:rPr>
                <w:b w:val="0"/>
                <w:color w:val="000000"/>
                <w:sz w:val="20"/>
              </w:rPr>
              <w:t>60</w:t>
            </w:r>
          </w:p>
        </w:tc>
        <w:tc>
          <w:tcPr>
            <w:tcW w:type="dxa" w:w="2324"/>
            <w:shd w:fill="F2F5F7"/>
          </w:tcPr>
          <w:p>
            <w:pPr>
              <w:spacing w:after="80" w:before="80"/>
            </w:pPr>
            <w:r>
              <w:rPr>
                <w:b w:val="0"/>
                <w:color w:val="000000"/>
                <w:sz w:val="20"/>
              </w:rPr>
              <w:t>2</w:t>
            </w:r>
          </w:p>
        </w:tc>
      </w:tr>
      <w:tr>
        <w:trPr>
          <w:cantSplit/>
        </w:trPr>
        <w:tc>
          <w:tcPr>
            <w:tcW w:type="dxa" w:w="2891"/>
            <w:shd w:fill="FFFFFF"/>
          </w:tcPr>
          <w:p>
            <w:pPr>
              <w:spacing w:after="80" w:before="80"/>
            </w:pPr>
            <w:r>
              <w:rPr>
                <w:b w:val="0"/>
                <w:color w:val="000000"/>
                <w:sz w:val="20"/>
              </w:rPr>
              <w:t>CO</w:t>
            </w:r>
          </w:p>
        </w:tc>
        <w:tc>
          <w:tcPr>
            <w:tcW w:type="dxa" w:w="2324"/>
            <w:shd w:fill="FFFFFF"/>
          </w:tcPr>
          <w:p>
            <w:pPr>
              <w:spacing w:after="80" w:before="80"/>
            </w:pPr>
            <w:r>
              <w:rPr>
                <w:b w:val="0"/>
                <w:color w:val="000000"/>
                <w:sz w:val="20"/>
              </w:rPr>
              <w:t>14</w:t>
            </w:r>
          </w:p>
        </w:tc>
        <w:tc>
          <w:tcPr>
            <w:tcW w:type="dxa" w:w="2324"/>
            <w:shd w:fill="FFFFFF"/>
          </w:tcPr>
          <w:p>
            <w:pPr>
              <w:spacing w:after="80" w:before="80"/>
            </w:pPr>
            <w:r>
              <w:rPr>
                <w:b w:val="0"/>
                <w:color w:val="000000"/>
                <w:sz w:val="20"/>
              </w:rPr>
              <w:t>49</w:t>
            </w:r>
          </w:p>
        </w:tc>
        <w:tc>
          <w:tcPr>
            <w:tcW w:type="dxa" w:w="2324"/>
            <w:shd w:fill="FFFFFF"/>
          </w:tcPr>
          <w:p>
            <w:pPr>
              <w:spacing w:after="80" w:before="80"/>
            </w:pPr>
            <w:r>
              <w:rPr>
                <w:b w:val="0"/>
                <w:color w:val="000000"/>
                <w:sz w:val="20"/>
              </w:rPr>
              <w:t>6</w:t>
            </w:r>
          </w:p>
        </w:tc>
      </w:tr>
      <w:tr>
        <w:trPr>
          <w:cantSplit/>
        </w:trPr>
        <w:tc>
          <w:tcPr>
            <w:tcW w:type="dxa" w:w="2891"/>
            <w:shd w:fill="F2F5F7"/>
          </w:tcPr>
          <w:p>
            <w:pPr>
              <w:spacing w:after="80" w:before="80"/>
            </w:pPr>
            <w:r>
              <w:rPr>
                <w:b w:val="0"/>
                <w:color w:val="000000"/>
                <w:sz w:val="20"/>
              </w:rPr>
              <w:t>FI</w:t>
            </w:r>
          </w:p>
        </w:tc>
        <w:tc>
          <w:tcPr>
            <w:tcW w:type="dxa" w:w="2324"/>
            <w:shd w:fill="F2F5F7"/>
          </w:tcPr>
          <w:p>
            <w:pPr>
              <w:spacing w:after="80" w:before="80"/>
            </w:pPr>
            <w:r>
              <w:rPr>
                <w:b w:val="0"/>
                <w:color w:val="000000"/>
                <w:sz w:val="20"/>
              </w:rPr>
              <w:t>23</w:t>
            </w:r>
          </w:p>
        </w:tc>
        <w:tc>
          <w:tcPr>
            <w:tcW w:type="dxa" w:w="2324"/>
            <w:shd w:fill="F2F5F7"/>
          </w:tcPr>
          <w:p>
            <w:pPr>
              <w:spacing w:after="80" w:before="80"/>
            </w:pPr>
            <w:r>
              <w:rPr>
                <w:b w:val="0"/>
                <w:color w:val="000000"/>
                <w:sz w:val="20"/>
              </w:rPr>
              <w:t>74</w:t>
            </w:r>
          </w:p>
        </w:tc>
        <w:tc>
          <w:tcPr>
            <w:tcW w:type="dxa" w:w="2324"/>
            <w:shd w:fill="F2F5F7"/>
          </w:tcPr>
          <w:p>
            <w:pPr>
              <w:spacing w:after="80" w:before="80"/>
            </w:pPr>
            <w:r>
              <w:rPr>
                <w:b w:val="0"/>
                <w:color w:val="000000"/>
                <w:sz w:val="20"/>
              </w:rPr>
              <w:t>6</w:t>
            </w:r>
          </w:p>
        </w:tc>
      </w:tr>
      <w:tr>
        <w:trPr>
          <w:cantSplit/>
        </w:trPr>
        <w:tc>
          <w:tcPr>
            <w:tcW w:type="dxa" w:w="2891"/>
            <w:shd w:fill="FFFFFF"/>
          </w:tcPr>
          <w:p>
            <w:pPr>
              <w:spacing w:after="80" w:before="80"/>
            </w:pPr>
            <w:r>
              <w:rPr>
                <w:b w:val="0"/>
                <w:color w:val="000000"/>
                <w:sz w:val="20"/>
              </w:rPr>
              <w:t>SD</w:t>
            </w:r>
          </w:p>
        </w:tc>
        <w:tc>
          <w:tcPr>
            <w:tcW w:type="dxa" w:w="2324"/>
            <w:shd w:fill="FFFFFF"/>
          </w:tcPr>
          <w:p>
            <w:pPr>
              <w:spacing w:after="80" w:before="80"/>
            </w:pPr>
            <w:r>
              <w:rPr>
                <w:b w:val="0"/>
                <w:color w:val="000000"/>
                <w:sz w:val="20"/>
              </w:rPr>
              <w:t>21</w:t>
            </w:r>
          </w:p>
        </w:tc>
        <w:tc>
          <w:tcPr>
            <w:tcW w:type="dxa" w:w="2324"/>
            <w:shd w:fill="FFFFFF"/>
          </w:tcPr>
          <w:p>
            <w:pPr>
              <w:spacing w:after="80" w:before="80"/>
            </w:pPr>
            <w:r>
              <w:rPr>
                <w:b w:val="0"/>
                <w:color w:val="000000"/>
                <w:sz w:val="20"/>
              </w:rPr>
              <w:t>63</w:t>
            </w:r>
          </w:p>
        </w:tc>
        <w:tc>
          <w:tcPr>
            <w:tcW w:type="dxa" w:w="2324"/>
            <w:shd w:fill="FFFFFF"/>
          </w:tcPr>
          <w:p>
            <w:pPr>
              <w:spacing w:after="80" w:before="80"/>
            </w:pPr>
            <w:r>
              <w:rPr>
                <w:b w:val="0"/>
                <w:color w:val="000000"/>
                <w:sz w:val="20"/>
              </w:rPr>
              <w:t>6</w:t>
            </w:r>
          </w:p>
        </w:tc>
      </w:tr>
    </w:tbl>
    <w:p/>
    <w:p>
      <w:pPr>
        <w:pStyle w:val="Heading2"/>
      </w:pPr>
      <w:r>
        <w:t>Architecture</w:t>
      </w:r>
    </w:p>
    <w:p>
      <w:r>
        <w:t>SAP table → B_ Basic → I_ Interface → C_ Consumption</w:t>
      </w:r>
    </w:p>
    <w:p>
      <w:r>
        <w:t>Basic reads native tables and preserves their data grain. Composite exposes business columns and relationships. Consumption provides documented export structures. Target views and CSV contracts compare the same selected population.</w:t>
      </w:r>
    </w:p>
    <w:p>
      <w:pPr>
        <w:pStyle w:val="Heading2"/>
      </w:pPr>
      <w:r>
        <w:t>Delivery contents</w:t>
      </w:r>
    </w:p>
    <w:p>
      <w:r>
        <w:t>Included are CDS sources, abapGit metadata, field mappings, activation order, scope documentation, license and a VDM map. Python tools support selection and comparison. Optional ABAP reports are created separately in SE38.</w:t>
      </w:r>
    </w:p>
    <w:p>
      <w:r>
        <w:t>The license allows unlimited use and modification for internal and client implementations. Resale of the template library is excluded. See docs/LICENSE.md for the terms.</w:t>
      </w:r>
    </w:p>
    <w:p>
      <w:r>
        <w:br w:type="page"/>
      </w:r>
    </w:p>
    <w:p>
      <w:pPr>
        <w:pStyle w:val="Heading1"/>
      </w:pPr>
      <w:r>
        <w:t>Installation and use</w:t>
      </w:r>
    </w:p>
    <w:p>
      <w:r>
        <w:t>1. Extract SOURCE and TARGET and import them separately into the respective SAP systems. The outer customer-pack ZIP is not a direct abapGit import.</w:t>
      </w:r>
    </w:p>
    <w:p>
      <w:r>
        <w:t>2. In abapGit select New Offline, assign a customer package, then Import ZIP and Pull ZIP. Follow ACTIVATION_ORDER.txt.</w:t>
      </w:r>
    </w:p>
    <w:p>
      <w:r>
        <w:t>3. Tables, standard views, ABAP stack and authorizations must meet docs/COMPATIBILITY.md. No DCL is included; authorize the chosen extraction channel explicitly.</w:t>
      </w:r>
    </w:p>
    <w:p>
      <w:r>
        <w:t>4. Export Consumption with the supplied column names. Preserve leading zeros, internal identifiers, units and currencies.</w:t>
      </w:r>
    </w:p>
    <w:p>
      <w:r>
        <w:t>5. Enter approved keys in customer/selection. Empty selections yield zero records. Use Python 3.10 or newer on the workstation.</w:t>
      </w:r>
    </w:p>
    <w:p>
      <w:r>
        <w:t>6. Map identifiers and regenerated UUIDs using a separate key ledger. Apply the same source and target population.</w:t>
      </w:r>
    </w:p>
    <w:p>
      <w:r>
        <w:t>7. Implement target creation, transaction handling and error recovery through an appropriate SAP API or BAPI. Do not write directly to application tables.</w:t>
      </w:r>
    </w:p>
    <w:p>
      <w:pPr>
        <w:pStyle w:val="Heading2"/>
      </w:pPr>
      <w:r>
        <w:t>Module selection</w:t>
      </w:r>
    </w:p>
    <w:p>
      <w:r>
        <w:t>python build_package.py --product fi_aa_mig_ecc fixed_asset --out source.zip</w:t>
      </w:r>
    </w:p>
    <w:p>
      <w:r>
        <w:t>Run the builder in the GitHub checkout on your workstation. Required modules are included automatically. For the complete product use --all instead of a module name. An individual view needs every referenced view.</w:t>
      </w:r>
    </w:p>
    <w:p>
      <w:r>
        <w:br w:type="page"/>
      </w:r>
    </w:p>
    <w:p>
      <w:pPr>
        <w:pStyle w:val="Heading1"/>
      </w:pPr>
      <w:r>
        <w:t>Scope and business rules</w:t>
      </w:r>
    </w:p>
    <w:p>
      <w:pPr>
        <w:pStyle w:val="Heading2"/>
      </w:pPr>
      <w:r>
        <w:t>FI_AA</w:t>
      </w:r>
    </w:p>
    <w:p>
      <w:r>
        <w:t>Agree depreciation areas, currencies, fiscal years and transfer dates. ANLC holds annual accumulations, not posting instructions. Avoid duplicate asset and general-ledger balances; use a supported interface for Universal Parallel Accounting.</w:t>
      </w:r>
    </w:p>
    <w:p>
      <w:pPr>
        <w:pStyle w:val="Heading2"/>
      </w:pPr>
      <w:r>
        <w:t>MM</w:t>
      </w:r>
    </w:p>
    <w:p>
      <w:r>
        <w:t>Define batch, special-stock and inventory scope. Determine open purchasing items from receipts, invoices and remaining quantities.</w:t>
      </w:r>
    </w:p>
    <w:p>
      <w:pPr>
        <w:pStyle w:val="Heading2"/>
      </w:pPr>
      <w:r>
        <w:t>QM</w:t>
      </w:r>
    </w:p>
    <w:p>
      <w:r>
        <w:t>Retain inspection lot, result and decision status. Inspection plans need effective assignments, operations and characteristics.</w:t>
      </w:r>
    </w:p>
    <w:p>
      <w:pPr>
        <w:pStyle w:val="Heading2"/>
      </w:pPr>
      <w:r>
        <w:t>PS</w:t>
      </w:r>
    </w:p>
    <w:p>
      <w:r>
        <w:t>Map internal and external project and WBS identifiers. Build the hierarchy using target identifiers.</w:t>
      </w:r>
    </w:p>
    <w:p>
      <w:pPr>
        <w:pStyle w:val="Heading2"/>
      </w:pPr>
      <w:r>
        <w:t>PP</w:t>
      </w:r>
    </w:p>
    <w:p>
      <w:r>
        <w:t>Select BOMs and task lists by cutover date, change state, usage and alternative. Order history is reference data, not new postings.</w:t>
      </w:r>
    </w:p>
    <w:p>
      <w:pPr>
        <w:pStyle w:val="Heading2"/>
      </w:pPr>
      <w:r>
        <w:t>CO</w:t>
      </w:r>
    </w:p>
    <w:p>
      <w:r>
        <w:t>Agree cost centers, profit centers, validity periods and currencies. Reconcile movements separately from balances.</w:t>
      </w:r>
    </w:p>
    <w:p>
      <w:pPr>
        <w:pStyle w:val="Heading2"/>
      </w:pPr>
      <w:r>
        <w:t>FI</w:t>
      </w:r>
    </w:p>
    <w:p>
      <w:r>
        <w:t>Map accounts, organizations, fiscal years and currencies. Transfer open items and balances without duplicate postings.</w:t>
      </w:r>
    </w:p>
    <w:p>
      <w:pPr>
        <w:pStyle w:val="Heading2"/>
      </w:pPr>
      <w:r>
        <w:t>SD</w:t>
      </w:r>
    </w:p>
    <w:p>
      <w:r>
        <w:t>Respect document status, partners, schedule lines and open quantities. Map history and document flow using target identifiers.</w:t>
      </w:r>
    </w:p>
    <w:p>
      <w:r>
        <w:t>Complete module and field lists are in docs/SUPPORTED_SCOPE.md, mapping and FIELD_CATALOG.csv. VDM.html shows object dependencies. The templates contain no automatic posting implementation and do not promise coverage of every SAP feature.</w:t>
      </w:r>
    </w:p>
    <w:p>
      <w:pPr>
        <w:pStyle w:val="Heading1"/>
      </w:pPr>
      <w:r>
        <w:t>Master records and child structures</w:t>
      </w:r>
    </w:p>
    <w:p>
      <w:r>
        <w:t>Masters remain unique; repeating texts, partners, statuses, organizational data and validity intervals retain separate structures and complete keys. Preparation limits children to selected parents and rejects duplicate parent identities. Native addresses enrich technical objects, FI business partners and banks, SD document partners and CO masters. Missing standard addresses preserve the master; variants remain reference data. SAP generates system statuses and technical target IDs. SD header records retain item 000000; item data follows selected items. Read customer/parent-relationships.json and docs/MASTER_CHILD_ARCHITECTURE.md, and map source fields against the selected target interface.</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SAP migration templates customer manual</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