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 templates customer manual</w:t>
      </w:r>
    </w:p>
    <w:p>
      <w:r>
        <w:t>Version 1.0.0 | KAOURI INNOVATECH</w:t>
      </w:r>
    </w:p>
    <w:p>
      <w:r>
        <w:t>This manual explains installation, module selection, extraction and comparison for the supplied migration templates. Each pack contains separate SOURCE and TARGET archives. Business objects are created through the SAP interface chosen by the customer.</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c>
          <w:tcPr>
            <w:tcW w:type="dxa" w:w="2324"/>
            <w:shd w:fill="273D50"/>
          </w:tcPr>
          <w:p>
            <w:pPr>
              <w:spacing w:after="80" w:before="80"/>
            </w:pPr>
            <w:r>
              <w:rPr>
                <w:b/>
                <w:color w:val="FFFFFF"/>
                <w:sz w:val="20"/>
              </w:rPr>
              <w:t>Target 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47</w:t>
            </w:r>
          </w:p>
        </w:tc>
        <w:tc>
          <w:tcPr>
            <w:tcW w:type="dxa" w:w="2324"/>
            <w:shd w:fill="F2F5F7"/>
          </w:tcPr>
          <w:p>
            <w:pPr>
              <w:spacing w:after="80" w:before="80"/>
            </w:pPr>
            <w:r>
              <w:rPr>
                <w:b w:val="0"/>
                <w:color w:val="000000"/>
                <w:sz w:val="20"/>
              </w:rPr>
              <w:t>172</w:t>
            </w:r>
          </w:p>
        </w:tc>
        <w:tc>
          <w:tcPr>
            <w:tcW w:type="dxa" w:w="2324"/>
            <w:shd w:fill="F2F5F7"/>
          </w:tcPr>
          <w:p>
            <w:pPr>
              <w:spacing w:after="80" w:before="80"/>
            </w:pPr>
            <w:r>
              <w:rPr>
                <w:b w:val="0"/>
                <w:color w:val="000000"/>
                <w:sz w:val="20"/>
              </w:rPr>
              <w:t>16</w:t>
            </w:r>
          </w:p>
        </w:tc>
      </w:tr>
    </w:tbl>
    <w:p/>
    <w:p>
      <w:pPr>
        <w:pStyle w:val="Heading2"/>
      </w:pPr>
      <w:r>
        <w:t>Architecture</w:t>
      </w:r>
    </w:p>
    <w:p>
      <w:r>
        <w:t>SAP table → B_ Basic → I_ Interface → C_ Consumption</w:t>
      </w:r>
    </w:p>
    <w:p>
      <w:r>
        <w:t>Basic reads native tables and preserves their data grain. Composite exposes business columns and relationships. Consumption provides documented export structures. Target views and CSV contracts compare the same selected population.</w:t>
      </w:r>
    </w:p>
    <w:p>
      <w:pPr>
        <w:pStyle w:val="Heading2"/>
      </w:pPr>
      <w:r>
        <w:t>Delivery contents</w:t>
      </w:r>
    </w:p>
    <w:p>
      <w:r>
        <w:t>Included are CDS sources, abapGit metadata, field mappings, activation order, scope documentation, license and a VDM map. Python tools support selection and comparison. Optional ABAP reports are created separately in SE38.</w:t>
      </w:r>
    </w:p>
    <w:p>
      <w:r>
        <w:t>The license allows unlimited use and modification for internal and client implementations. Resale of the template library is excluded. See docs/LICENSE.md for the terms.</w:t>
      </w:r>
    </w:p>
    <w:p>
      <w:r>
        <w:br w:type="page"/>
      </w:r>
    </w:p>
    <w:p>
      <w:pPr>
        <w:pStyle w:val="Heading1"/>
      </w:pPr>
      <w:r>
        <w:t>Installation and use</w:t>
      </w:r>
    </w:p>
    <w:p>
      <w:r>
        <w:t>1. Extract SOURCE and TARGET and import them separately into the respective SAP systems.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Map identifiers and regenerated UUIDs using a separate key ledger. Apply the same source and target population.</w:t>
      </w:r>
    </w:p>
    <w:p>
      <w:r>
        <w:t>7. Implement target creation, transaction handling and error recovery through an appropriate SAP API or BAPI. Do not write directly to application tables.</w:t>
      </w:r>
    </w:p>
    <w:p>
      <w:pPr>
        <w:pStyle w:val="Heading2"/>
      </w:pPr>
      <w:r>
        <w:t>Module selection</w:t>
      </w:r>
    </w:p>
    <w:p>
      <w:r>
        <w:t>python build_package.py --product eam_mig_ecc equipment --out source.zip</w:t>
      </w:r>
    </w:p>
    <w:p>
      <w:r>
        <w:t>Run the builder in the GitHub checkout on your workstation. Required modules are included automatically. For the complete product use --all instead of a module name. An individual view needs every referenced view.</w:t>
      </w:r>
    </w:p>
    <w:p>
      <w:r>
        <w:br w:type="page"/>
      </w:r>
    </w:p>
    <w:p>
      <w:pPr>
        <w:pStyle w:val="Heading1"/>
      </w:pPr>
      <w:r>
        <w:t>Scope and business rules</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Module</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20</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12</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3</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17</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19</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11</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4</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3</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27</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15</w:t>
            </w:r>
          </w:p>
        </w:tc>
      </w:tr>
    </w:tbl>
    <w:p/>
    <w:p>
      <w:r>
        <w:t>Equipment exports one current master with standard postal address. Texts, partners, statuses and address versions remain separate. Apply the same selected Equipment cohort to every child. System statuses are reference only; user statuses require supported post-load processing. Long text content uses READ_TEXT. Use full cutover snapshots. See docs/EQUIPMENT_ARCHITECTURE.md and docs/CUSTOMER_WORKFLOW.md.</w:t>
      </w:r>
    </w:p>
    <w:p>
      <w:r>
        <w:t>Complete module and field lists are in docs/SUPPORTED_SCOPE.md, mapping and FIELD_CATALOG.csv. VDM.html shows object dependencies. The templates contain no automatic posting implementation and do not promise coverage of every SAP feature.</w:t>
      </w:r>
    </w:p>
    <w:p>
      <w:pPr>
        <w:pStyle w:val="Heading1"/>
      </w:pPr>
      <w:r>
        <w:t>Master records and child structures</w:t>
      </w:r>
    </w:p>
    <w:p>
      <w:r>
        <w:t>Masters remain unique; repeating texts, partners, statuses, organizational data and validity intervals retain separate structures and complete keys. Preparation limits children to selected parents and rejects duplicate parent identities. Native addresses enrich technical objects, FI business partners and banks, SD document partners and CO masters. Missing standard addresses preserve the master; variants remain reference data. SAP generates system statuses and technical target IDs. SD header records retain item 000000; item data follows selected items. Read customer/parent-relationships.json and docs/MASTER_CHILD_ARCHITECTURE.md, and map source fields against the selected target interface.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